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43f7" w14:textId="7f24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және қақпақтардың жекелеген түрлеріне қатысты осындай баж ставкаларының мөлшерлері қолданылатын тауарлардың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 қыркүйектегі № 68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16 қазандағы Еуразиялық экономикалық одақтың кедендік аумағында тауарларды әкелу мен олардың айналысының кейбір мәселелері туралы хаттаманың 3-бабына және Еуразиялық экономикалық комиссия жұмысының регламентіне № 1 қосымшаның 132-тармағына сәйкес, Еуразиялық экономикалық комиссия Кеңесі Шешті: </w:t>
      </w:r>
    </w:p>
    <w:bookmarkEnd w:id="0"/>
    <w:bookmarkStart w:name="z2" w:id="1"/>
    <w:p>
      <w:pPr>
        <w:spacing w:after="0"/>
        <w:ind w:left="0"/>
        <w:jc w:val="both"/>
      </w:pPr>
      <w:r>
        <w:rPr>
          <w:rFonts w:ascii="Times New Roman"/>
          <w:b w:val="false"/>
          <w:i w:val="false"/>
          <w:color w:val="000000"/>
          <w:sz w:val="28"/>
        </w:rPr>
        <w:t xml:space="preserve">
      1. Өздеріне қатысты тауарлардың тізбесінде Дүниежүзілік сауда ұйымына Қазақстан Республикасы қосылу шарты ретінде қабылданған міндеттемелерге сәйкес кедендік әкелу баждарының ставкалары қолданылады Еуразиялық экономикалық одақтың Бірыңғай кедендік тарифінің баж мөлшерлемелерімен және Еуразиялық экономикалық комиссия кеңесінің 2015 жылғы 14 қазандағы № 59 </w:t>
      </w:r>
      <w:r>
        <w:rPr>
          <w:rFonts w:ascii="Times New Roman"/>
          <w:b w:val="false"/>
          <w:i w:val="false"/>
          <w:color w:val="000000"/>
          <w:sz w:val="28"/>
        </w:rPr>
        <w:t>шешімімен</w:t>
      </w:r>
      <w:r>
        <w:rPr>
          <w:rFonts w:ascii="Times New Roman"/>
          <w:b w:val="false"/>
          <w:i w:val="false"/>
          <w:color w:val="000000"/>
          <w:sz w:val="28"/>
        </w:rPr>
        <w:t xml:space="preserve"> бекітілген баж мөлшерлемелерінің мөлшерімен салыстырғанда ЕАЭО СЭҚ ТН 8309 90 900 0 коды бар позиция мынадай мазмұндағы позициялармен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"8309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лакпен және/немесе эмальмен қапталған немесе жабылмаған ақ қаңылтырдан жасалған немесе хромдалған лакталған қаңылтырдан жасалған, бұрандалы немесе домалауға арналған жиегі бар қақпақтар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30 күнтізбелік күн аяқталғаннан кейін күшіне енеді.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