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7d5c" w14:textId="c53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2029 жылға арналған темекі өніміне акциздердің бірыңғай индикативтік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29 мамырдағы № 42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темекі өнімдеріне акциздер саласында салық саясатын жүргізу қағидаттары туралы 2019 жылғы 19 желтоқсандағы Келісімнің </w:t>
      </w:r>
      <w:r>
        <w:rPr>
          <w:rFonts w:ascii="Times New Roman"/>
          <w:b w:val="false"/>
          <w:i w:val="false"/>
          <w:color w:val="000000"/>
          <w:sz w:val="28"/>
        </w:rPr>
        <w:t>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2029 жылға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сыртқы экономикалық қызметінің бірыңғай тауар номенклатурасының 2402 20 субпозициясында жіктелетін темекіге акциздердің ұлттық валютадағы 1000 дана үшін 45 еуроға баламалы мөлшердегі бірыңғай индикативтік мөлшерлемесінің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мемлекеттерде қолданылатын акциздердің нақты мөлшерлемелерінің осы тармақтың екінші абзацында көрсетілген индикативтік мөлшерлемеден 20 пайыздан төмен немесе үлкен жаққа аспайтын мөлшерде ауытқу диапазондары.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