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74c" w14:textId="d30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нәтижесінде Кеден одағының "Парфюмериялық-косметикалық өнімнің қауіпсіздігі туралы" техникалық регламентінің (КО ТР 009/2011) талаптарын сақтау ерікті негізде қамтамасыз етілетін мемлекетаралық стандарттарды, сондай-ақ зерттеу (сынақ) және өлшеу қағидалары мен әдістерін, соның ішінде Кеден одағының "Парфюмериялық-косметикалық өнімнің қауіпсіздігі туралы" техникалық регламентінің (КО ТР 009/2011) талаптарын қолдану мен орындау және техникалық регламент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26 қарашадағы № 133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Қолдану нәтижесінде Кеден одағының "Парфюмериялық-косметикалық өнімнің қауіпсіздігі туралы" техникалық регламентінің (КО ТР 009/2011)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Кеден одағының "Парфюмериялық-косметикалық өнімнің қауіпсіздігі туралы" техникалық регламентінің (КО ТР 009/2011) талаптарын қолдану мен орындау және техникалық регламент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өзгертулер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Кеден одағының "Парфюмериялық-косметикалық өнімнің қауіпсіздігі туралы" техникалық регламентінің (КО ТР 009/2011)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Кеден одағының "Парфюмериялық-косметикалық өнімнің қауіпсіздігі туралы" техникалық регламентінің (КО ТР 009/2011) талаптарын қолдану мен орындау және техникалық регламент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20, 28, 33, 34, 36 – 42, 44 – 46 және 48 позициялар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мазмұндағы 63 – 65-позициялармен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Парфюмериялық-косметикалық өнім. Микробиология. Микробиологиялық көрсеткіштерді анықтау стандарттарында қолданылатын қоректік орталардың сапасын бақылау. ISO 4973:2023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5-баптың 4, 7-тармақтары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Парфюмериялық-косметикалық өнім. Өніммен жанасатын қаптамаға қойылатын талаптар. 34652-2020 МемСТ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8-тармағы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Ойыншықтар. Қауіпсіздік талаптары. 13-бөлім. Иіс сезуін дамытуға арналған үстел ойындары, парфюмерлік-косметикалық өнімдерді жасауға арналған жиынтықтар және дәм ойындары. EN 71-13:2021+A1:2022 негізінде EN 71-13-2018 МемСТ қайта қарау.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2-9-тармақтары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