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7b0bb" w14:textId="df7b0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сыртқы экономикалық қызметінің бірыңғай тауар номенклатурасына сәйкес газ турбинасының бағыттаушы қалақшасын сыныптау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2024 жылғы 22 қазандағы № 117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одақтың Кеден кодексінің 22-бабы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Ыстыққа төзімді болаттан дайындалған жану камерасынан келіп түсетін ыстық газ ағынын басқаруға арналған күрделі геометриялық нысандағы бұйымды білдіретін, ауаны салқындатуға арналған арнайы арналары, номиналды қуаты 5000 кВт-тан асатын, бірақ 50-ден аспайтын газ турбинасына (газ турбиналы қозғалтқышқа) орнатуға арналған технологиялық ойықтары бар газ турбинасының бағыттаушы қалақшасы сыртқы экономикалық қызметтің Тауар номенклатурасын түсіндірудің 1 және 6 негізгі қағидаларына сәйкес Еуразиялық экономикалық одақтың сыртқы экономикалық қызметінің бірыңғай Тауар номенклатурасының 8411 99 001 кіші қосалқы позициясында сыныпталады.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Ыстыққа төзімді болаттан дайындалған жану камерасынан келіп түсетін ыстық газ ағынын басқаруға арналған күрделі геометриялық нысандағы бұйымды білдіретін, ауаны салқындатуға арналған арнайы арналары, номиналды қуаты 50 000 кВт-тан асатын газ турбинасына (газ турбиналы қозғалтқышқа) орнатуға арналған технологиялық ойықтары бар газ турбинасының бағыттаушы қалақшасы сыртқы экономикалық қызметтің  Тауар номенклатурасын түсіндірудің 1 және 6 негізгі қағидаларына сәйкес Еуразиялық экономикалық одақтың сыртқы экономикалық қызметінің бірыңғай Тауар номенклатурасының 8411 99 009 кіші қосалқы позициясында сыныпталады.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/>
          <w:i w:val="false"/>
          <w:color w:val="000000"/>
          <w:sz w:val="28"/>
        </w:rPr>
        <w:t>Осы Шешім ресми жарияланған күнінен бастап күнтізбелік 30 күн өткен соң</w:t>
      </w:r>
      <w:r>
        <w:rPr>
          <w:rFonts w:ascii="Times New Roman"/>
          <w:b/>
          <w:i w:val="false"/>
          <w:color w:val="000000"/>
          <w:sz w:val="28"/>
        </w:rPr>
        <w:t xml:space="preserve"> күшіне енеді.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