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28f5" w14:textId="3d52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29 маусымдағы № 75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№98 шешімімен бекітілген Еуразиялық экономикалық комиссияның Жұмыс регламентіне тіркелген №2 қосымшаның 7-тармағына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2021 жылғы 29 маусымдағы № 75 "Ерікті негізде қолдану нәтижесінде Кеден одағының "Май өнімдеріне арналған техникалық регламент" (КО ТР 024/2011) техникалық регламенті талаптарының сақталуы қамтамасыз етілетін  мемлекетаралық стандарттарды және зерттеу (сынау) және өлшеу қағидалары мен әдістерін, соның ішінде Кеден одағының "Май өнімдеріне арналған техникалық регламент" (КО ТР 024/2011)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Start w:name="z3" w:id="0"/>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18 маусымдағы</w:t>
            </w:r>
            <w:r>
              <w:br/>
            </w:r>
            <w:r>
              <w:rPr>
                <w:rFonts w:ascii="Times New Roman"/>
                <w:b w:val="false"/>
                <w:i w:val="false"/>
                <w:color w:val="000000"/>
                <w:sz w:val="20"/>
              </w:rPr>
              <w:t>№ 63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2021 жылғы 29 маусымдағы № 75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Атауы мен 1-тармағы "осы техникалық регламенттің талаптарына" деген сөздермен толықтырылсын.</w:t>
      </w:r>
    </w:p>
    <w:bookmarkStart w:name="z7" w:id="2"/>
    <w:p>
      <w:pPr>
        <w:spacing w:after="0"/>
        <w:ind w:left="0"/>
        <w:jc w:val="both"/>
      </w:pPr>
      <w:r>
        <w:rPr>
          <w:rFonts w:ascii="Times New Roman"/>
          <w:b w:val="false"/>
          <w:i w:val="false"/>
          <w:color w:val="000000"/>
          <w:sz w:val="28"/>
        </w:rPr>
        <w:t>
      2. Көрсетілген Шешіммен бекітілген Ерікті негізде қолдану нәтижесінде Кеден одағының "Май өнімдеріне арналған техникалық регламент" (КО ТР 024/2011) техникалық регламенті талаптарының сақталуы қамтамасыз етілетін  мемлекетаралық стандарттарды және зерттеу (сынау) және өлшеу қағидалары мен әдістерін, соның ішінде Кеден одағының "Май өнімдеріне арналған техникалық регламент" (КО ТР 024/2011)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атауы "осы техникалық регламенттің талаптарына"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13-позициядағы 6-бағандағы "2022" деген сандар "2024" деген сандармен ауыстырылсын;</w:t>
      </w:r>
    </w:p>
    <w:bookmarkStart w:name="z10" w:id="3"/>
    <w:p>
      <w:pPr>
        <w:spacing w:after="0"/>
        <w:ind w:left="0"/>
        <w:jc w:val="both"/>
      </w:pPr>
      <w:r>
        <w:rPr>
          <w:rFonts w:ascii="Times New Roman"/>
          <w:b w:val="false"/>
          <w:i w:val="false"/>
          <w:color w:val="000000"/>
          <w:sz w:val="28"/>
        </w:rPr>
        <w:t>
      в) мынадай мазмұндағы 37-позициямен толықтырылсын: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67.200.10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мен өсімдік майлары және тоң майлары. ГХ/МС қолдану арқылы монохлорпропандиолдар (МХПД) мен глицидолдың май қышқылдарының күрделі эфирлерінің құрамын анықтау. 4-бөлік. ГХ/МС/МС қолдану арқылы жылдам сілтілі қайта этерификацияны қолдану және 2-МХПД, 3-МХПД және глицидолдың мөлшерін өлшеу әдісі. ISO 18363–4:2021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