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bff" w14:textId="b3cc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қызметтер көрсетудің жекелеген секторлары бойынша ырықтандыру жоспарларын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26 желтоқсандағы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2016 жылғы 26 желтоқсандағы № 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ырықтандыру жоспарларында көзделген іс - шаралардың орындалуына мониторинг жүргізу және бақылау жасау нәтижелері туралы Еуразиялық экономикалық комиссияның баяндамасын (бұдан әрі - баяндама) ескере отырып;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және Еуразиялық экономикалық комиссияға мүше мемлекеттердің үкіметтері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XV бөлімінің ережелерін іске асыру жөніндегі жұмысты жүргізу кезінде баяндаманың ережелерін ескерсін.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10 күнтізбелік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