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f1c6" w14:textId="b78f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Сотына жүгінген кезде шаруашылық жүргізуші субъектілер төлейтін баж мөлшерін бекіту туралы</w:t>
      </w:r>
    </w:p>
    <w:p>
      <w:pPr>
        <w:spacing w:after="0"/>
        <w:ind w:left="0"/>
        <w:jc w:val="both"/>
      </w:pPr>
      <w:r>
        <w:rPr>
          <w:rFonts w:ascii="Times New Roman"/>
          <w:b w:val="false"/>
          <w:i w:val="false"/>
          <w:color w:val="000000"/>
          <w:sz w:val="28"/>
        </w:rPr>
        <w:t>Еуразиялық экономикалық Кеңестің 2024 жылғы 26 желтоқсандағы № 19 шешімі</w:t>
      </w:r>
    </w:p>
    <w:p>
      <w:pPr>
        <w:spacing w:after="0"/>
        <w:ind w:left="0"/>
        <w:jc w:val="both"/>
      </w:pPr>
      <w:bookmarkStart w:name="z1" w:id="0"/>
      <w:r>
        <w:rPr>
          <w:rFonts w:ascii="Times New Roman"/>
          <w:b w:val="false"/>
          <w:i w:val="false"/>
          <w:color w:val="000000"/>
          <w:sz w:val="28"/>
        </w:rPr>
        <w:t>
      Жоғары Еуразиялық экономикалық кеңестің 2014 жылғы 10 қазандағы № 85 шешімінің 2-тармағына сәйкес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Сотына жүгінген кезде шаруашылық жүргізуші субъектілер төлейтін 2025 жылға арналған баж мөлшері Еуразиялық экономикалық одақтың 2025 жылға арналған бюджетінің жобасын дайындау кезінде болжанатын, 4,5 пайызды құрайтын тұтынушылық бағалардың өсу индексіне сәйкес 57 328 Ресей рублі мөлшерінде белгіленсін.</w:t>
      </w:r>
    </w:p>
    <w:bookmarkEnd w:id="1"/>
    <w:bookmarkStart w:name="z3" w:id="2"/>
    <w:p>
      <w:pPr>
        <w:spacing w:after="0"/>
        <w:ind w:left="0"/>
        <w:jc w:val="both"/>
      </w:pPr>
      <w:r>
        <w:rPr>
          <w:rFonts w:ascii="Times New Roman"/>
          <w:b w:val="false"/>
          <w:i w:val="false"/>
          <w:color w:val="000000"/>
          <w:sz w:val="28"/>
        </w:rPr>
        <w:t>
      2. Осы шешім 2025 жылғы 1 қаңтардан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