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2c16" w14:textId="1c82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 қалыптастыруға бағытталған іс-шаралар жоспарына өзгеріс енгізу туралы</w:t>
      </w:r>
    </w:p>
    <w:p>
      <w:pPr>
        <w:spacing w:after="0"/>
        <w:ind w:left="0"/>
        <w:jc w:val="both"/>
      </w:pPr>
      <w:r>
        <w:rPr>
          <w:rFonts w:ascii="Times New Roman"/>
          <w:b w:val="false"/>
          <w:i w:val="false"/>
          <w:color w:val="000000"/>
          <w:sz w:val="28"/>
        </w:rPr>
        <w:t>Еуразиялық экономикалық Кеңестің 2024 жылғы 26 желтоқсандағы № 18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ортақ электр энергетикалық нарығы туралы хаттаманың (2014 жылғы 29 мамырдағы Еуразиялық экономикалық одақ туралы шартқа № 21 қосымша) </w:t>
      </w:r>
      <w:r>
        <w:rPr>
          <w:rFonts w:ascii="Times New Roman"/>
          <w:b w:val="false"/>
          <w:i w:val="false"/>
          <w:color w:val="000000"/>
          <w:sz w:val="28"/>
        </w:rPr>
        <w:t>42-тармағына</w:t>
      </w:r>
      <w:r>
        <w:rPr>
          <w:rFonts w:ascii="Times New Roman"/>
          <w:b w:val="false"/>
          <w:i w:val="false"/>
          <w:color w:val="000000"/>
          <w:sz w:val="28"/>
        </w:rPr>
        <w:t xml:space="preserve">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1. Жоғары Еуразиялық экономикалық кеңестің 2019 жылғы 20 желтоқсандағы №31 шешімімен бекітілген Еуразиялық экономикалық одақтың ортақ электр энергетикалық нарығын қалыптастыруға бағытталған </w:t>
      </w:r>
      <w:r>
        <w:rPr>
          <w:rFonts w:ascii="Times New Roman"/>
          <w:b w:val="false"/>
          <w:i w:val="false"/>
          <w:color w:val="000000"/>
          <w:sz w:val="28"/>
        </w:rPr>
        <w:t>іс-шаралар жоспарына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№18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ортақ электр энергетикалық нарығын қалыптастыруға бағытталған іс-шаралар жоспарына енгізілетін ӨЗГЕРІСТЕР</w:t>
      </w:r>
    </w:p>
    <w:bookmarkEnd w:id="3"/>
    <w:bookmarkStart w:name="z6" w:id="4"/>
    <w:p>
      <w:pPr>
        <w:spacing w:after="0"/>
        <w:ind w:left="0"/>
        <w:jc w:val="both"/>
      </w:pPr>
      <w:r>
        <w:rPr>
          <w:rFonts w:ascii="Times New Roman"/>
          <w:b w:val="false"/>
          <w:i w:val="false"/>
          <w:color w:val="000000"/>
          <w:sz w:val="28"/>
        </w:rPr>
        <w:t>
      Мынадай мазмұндағы 21-23-тармақтармен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i w:val="false"/>
                <w:color w:val="000000"/>
                <w:sz w:val="20"/>
              </w:rPr>
              <w:t xml:space="preserve"> Еуразиялық экономикалық одақтың ортақ электр энергетикалық нарығы туралы хаттаманың (2014 жылғы 29 мамырдағы Еуразиялық экономикалық одақ туралы шартқа № 21 қосымша) </w:t>
            </w:r>
            <w:r>
              <w:rPr>
                <w:rFonts w:ascii="Times New Roman"/>
                <w:b w:val="false"/>
                <w:i w:val="false"/>
                <w:color w:val="000000"/>
                <w:sz w:val="20"/>
              </w:rPr>
              <w:t>8-тармағында</w:t>
            </w:r>
            <w:r>
              <w:rPr>
                <w:rFonts w:ascii="Times New Roman"/>
                <w:b/>
                <w:i w:val="false"/>
                <w:color w:val="000000"/>
                <w:sz w:val="20"/>
              </w:rPr>
              <w:t xml:space="preserve"> көзделген қағидаларға (бұдан әрі-ақпарат алмасу қағидалары) сәйкес функцияларды атқаратын мүше мемлекеттердің сенім білдірілген үшінші тараптарын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жылғы</w:t>
            </w:r>
            <w:r>
              <w:rPr>
                <w:rFonts w:ascii="Times New Roman"/>
                <w:b w:val="false"/>
                <w:i w:val="false"/>
                <w:color w:val="000000"/>
                <w:sz w:val="20"/>
              </w:rPr>
              <w:t xml:space="preserve"> </w:t>
            </w:r>
            <w:r>
              <w:rPr>
                <w:rFonts w:ascii="Times New Roman"/>
                <w:b/>
                <w:i w:val="false"/>
                <w:color w:val="000000"/>
                <w:sz w:val="20"/>
              </w:rPr>
              <w:t>1 маусымға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"Интернет" ақпараттық телекоммуникациялық желісіндегі тіркеушінің сайтында олардың жеке кабинеттеріне қол жеткізу үшін Одақтың ортақ электр энергетикалық нарығы субъектілерін аутентификациялау тәсілдерін ақпараттық алмасу қағидаларында айқындалған ақпараттық қауіпсіздік және ақпараттық технологиялар саласындағы мүше мемлекеттердің тиісті уәкілетті органдарының әзірлеуі және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маусымға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Мүше мемлекеттердің сенім білдірілген үшінші тараптарының ақпарат алмасу қағидаларында көзделген функцияларды атқаруға техникалық дайындығын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