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f624" w14:textId="66cf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жұмысының Регламентіне өзгерістер енгізу туралы</w:t>
      </w:r>
    </w:p>
    <w:p>
      <w:pPr>
        <w:spacing w:after="0"/>
        <w:ind w:left="0"/>
        <w:jc w:val="both"/>
      </w:pPr>
      <w:r>
        <w:rPr>
          <w:rFonts w:ascii="Times New Roman"/>
          <w:b w:val="false"/>
          <w:i w:val="false"/>
          <w:color w:val="000000"/>
          <w:sz w:val="28"/>
        </w:rPr>
        <w:t>Еуразиялық экономикалық Кеңестің 2024 жылғы 8 мамырдағы № 4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98 шешімімен бекітілген Еуразиялық экономикалық комиссия жұмысының Регламентіне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көрсетілген Регламентке № 1 қосымша мынадай мазмұндағы 168 - 173-тармақтармен толықтырылсын: </w:t>
      </w:r>
    </w:p>
    <w:bookmarkEnd w:id="2"/>
    <w:bookmarkStart w:name="z4" w:id="3"/>
    <w:p>
      <w:pPr>
        <w:spacing w:after="0"/>
        <w:ind w:left="0"/>
        <w:jc w:val="both"/>
      </w:pPr>
      <w:r>
        <w:rPr>
          <w:rFonts w:ascii="Times New Roman"/>
          <w:b w:val="false"/>
          <w:i w:val="false"/>
          <w:color w:val="000000"/>
          <w:sz w:val="28"/>
        </w:rPr>
        <w:t>
      "168. Одақтың Кеден кодексінің 43</w:t>
      </w:r>
      <w:r>
        <w:rPr>
          <w:rFonts w:ascii="Times New Roman"/>
          <w:b w:val="false"/>
          <w:i w:val="false"/>
          <w:color w:val="000000"/>
          <w:vertAlign w:val="superscript"/>
        </w:rPr>
        <w:t>1</w:t>
      </w:r>
      <w:r>
        <w:rPr>
          <w:rFonts w:ascii="Times New Roman"/>
          <w:b w:val="false"/>
          <w:i w:val="false"/>
          <w:color w:val="000000"/>
          <w:sz w:val="28"/>
        </w:rPr>
        <w:t xml:space="preserve">-тарауының ережелері қолданылмайтын электрондық сауда тауарларының тізбесін және (немесе) электрондық сауда тауарларының санаттарын айқындау. </w:t>
      </w:r>
    </w:p>
    <w:bookmarkEnd w:id="3"/>
    <w:bookmarkStart w:name="z5" w:id="4"/>
    <w:p>
      <w:pPr>
        <w:spacing w:after="0"/>
        <w:ind w:left="0"/>
        <w:jc w:val="both"/>
      </w:pPr>
      <w:r>
        <w:rPr>
          <w:rFonts w:ascii="Times New Roman"/>
          <w:b w:val="false"/>
          <w:i w:val="false"/>
          <w:color w:val="000000"/>
          <w:sz w:val="28"/>
        </w:rPr>
        <w:t>
      169. Электрондық сауда тауарларын сатып алғаннан кейін оларды қайтарған жағдайда оларды сәйкестендіру тәртібін айқындау.</w:t>
      </w:r>
    </w:p>
    <w:bookmarkEnd w:id="4"/>
    <w:bookmarkStart w:name="z6" w:id="5"/>
    <w:p>
      <w:pPr>
        <w:spacing w:after="0"/>
        <w:ind w:left="0"/>
        <w:jc w:val="both"/>
      </w:pPr>
      <w:r>
        <w:rPr>
          <w:rFonts w:ascii="Times New Roman"/>
          <w:b w:val="false"/>
          <w:i w:val="false"/>
          <w:color w:val="000000"/>
          <w:sz w:val="28"/>
        </w:rPr>
        <w:t xml:space="preserve">
      170. Жеке тұлғалар сатып алған электрондық сауда тауарларына қатысты кедендік баждың бірыңғай ставкасын айқындау. </w:t>
      </w:r>
    </w:p>
    <w:bookmarkEnd w:id="5"/>
    <w:bookmarkStart w:name="z7" w:id="6"/>
    <w:p>
      <w:pPr>
        <w:spacing w:after="0"/>
        <w:ind w:left="0"/>
        <w:jc w:val="both"/>
      </w:pPr>
      <w:r>
        <w:rPr>
          <w:rFonts w:ascii="Times New Roman"/>
          <w:b w:val="false"/>
          <w:i w:val="false"/>
          <w:color w:val="000000"/>
          <w:sz w:val="28"/>
        </w:rPr>
        <w:t>
      171. Жеке тұлғалар сатып алған электрондық сауда тауарлары одақтың кедендік аумағына электрондық сауда тауарларына қатысты кедендік баж төлемей әкелінетін құндық, салмақтық және (немесе) сандық нормаларды айқындау, сондай-ақ мүше мемлекеттердің заңнамасында комиссия айқындағаннан неғұрлым қатаң нормалар белгіленуі мүмкін жағдайларды айқындау.</w:t>
      </w:r>
    </w:p>
    <w:bookmarkEnd w:id="6"/>
    <w:bookmarkStart w:name="z8" w:id="7"/>
    <w:p>
      <w:pPr>
        <w:spacing w:after="0"/>
        <w:ind w:left="0"/>
        <w:jc w:val="both"/>
      </w:pPr>
      <w:r>
        <w:rPr>
          <w:rFonts w:ascii="Times New Roman"/>
          <w:b w:val="false"/>
          <w:i w:val="false"/>
          <w:color w:val="000000"/>
          <w:sz w:val="28"/>
        </w:rPr>
        <w:t>
      172. Электрондық сауда операторы ретінде кеден сфере саласындағы қызметті жүзеге асыратын заңды тұлғаның міндеттерін орындауды қамтамасыз ету мөлшерін айқындау.</w:t>
      </w:r>
    </w:p>
    <w:bookmarkEnd w:id="7"/>
    <w:bookmarkStart w:name="z9" w:id="8"/>
    <w:p>
      <w:pPr>
        <w:spacing w:after="0"/>
        <w:ind w:left="0"/>
        <w:jc w:val="both"/>
      </w:pPr>
      <w:r>
        <w:rPr>
          <w:rFonts w:ascii="Times New Roman"/>
          <w:b w:val="false"/>
          <w:i w:val="false"/>
          <w:color w:val="000000"/>
          <w:sz w:val="28"/>
        </w:rPr>
        <w:t>
      Электрондық коммерция тауарларына қатысты кедендік баждарды төлеу жөніндегі міндет жеке тұлғалар сатып алған әкелінген (әкелінетін) электрондық сауда тауарларына қатысты кедендік баждарды төлеу жөніндегі міндеттеменің тоқтатылуының мән-жайларын, электрондық коммерция тауарлары әртүрлі тұлғалармен әртүрлі мән-жайлар бойынша және (немесе) бірнеше рет, оның ішінде бір мүше мемлекетте электрондық коммерция тауарларына қатысты кедендік баждарды төлеу жөніндегі міндет туындаған кезде және осындай кедендік төлемдерді төлеу жөніндегі міндеттеме туындаған мән-жайлар бойынша туындаған басқа мүше мемлекетте тоқтатылған баждар, сондай-ақ осындай мән-жайлардың туындауын растау үшін кеден органдарының өзара іс-қимыл тәртібін айқындау.</w:t>
      </w:r>
    </w:p>
    <w:bookmarkEnd w:id="8"/>
    <w:bookmarkStart w:name="z10" w:id="9"/>
    <w:p>
      <w:pPr>
        <w:spacing w:after="0"/>
        <w:ind w:left="0"/>
        <w:jc w:val="both"/>
      </w:pPr>
      <w:r>
        <w:rPr>
          <w:rFonts w:ascii="Times New Roman"/>
          <w:b w:val="false"/>
          <w:i w:val="false"/>
          <w:color w:val="000000"/>
          <w:sz w:val="28"/>
        </w:rPr>
        <w:t>
      б) көрсетілген Регламентке № 2 қосымша мынадай мазмұндағы 50 тармақпен толықтырылсын:</w:t>
      </w:r>
    </w:p>
    <w:bookmarkEnd w:id="9"/>
    <w:bookmarkStart w:name="z11" w:id="10"/>
    <w:p>
      <w:pPr>
        <w:spacing w:after="0"/>
        <w:ind w:left="0"/>
        <w:jc w:val="both"/>
      </w:pPr>
      <w:r>
        <w:rPr>
          <w:rFonts w:ascii="Times New Roman"/>
          <w:b w:val="false"/>
          <w:i w:val="false"/>
          <w:color w:val="000000"/>
          <w:sz w:val="28"/>
        </w:rPr>
        <w:t>
      "50. Одақтың кедендік аумағынан тауарларды әкетуге мүмкіндік беретін кедендік рәсімдерге орналастыру шарттарын қоса алғанда, одақтың кедендік аумағынан электрондық сауда тауарларын әкету тәртібі мен шарттарының ерекшеліктерін және осындай кедендік рәсімдерді қолдану ерекшеліктерін, одақтың кедендік аумағынан әкетілетін электрондық сауда тауарларына қатысты кедендік операцияларды жасау тәртібінің ерекшеліктерін және Одақтың кедендік аумағынан әкетілетін кедендік төлемдерді қолдану ерекшеліктерін осындай тауарларға қатысты айқындау.</w:t>
      </w:r>
    </w:p>
    <w:bookmarkEnd w:id="10"/>
    <w:bookmarkStart w:name="z12" w:id="11"/>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 бірақ 2023 жылғы 25 желтоқсанда қол қойылған Еуразиялық экономикалық одақтың Кеден кодексі туралы шартқа 2017 жылғы 11 сәуірдегі өзгерістер мен толықтырулар енгізу туралы хаттама күшіне енген күннен ерте емес.</w:t>
      </w:r>
    </w:p>
    <w:bookmarkEnd w:id="11"/>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