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dbe0b" w14:textId="3cdbe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әкелу, арнайы, демпингке қарсы және өтемақы баждарының сомаларын аудару тәртібі туралы</w:t>
      </w:r>
    </w:p>
    <w:p>
      <w:pPr>
        <w:spacing w:after="0"/>
        <w:ind w:left="0"/>
        <w:jc w:val="both"/>
      </w:pPr>
      <w:r>
        <w:rPr>
          <w:rFonts w:ascii="Times New Roman"/>
          <w:b w:val="false"/>
          <w:i w:val="false"/>
          <w:color w:val="000000"/>
          <w:sz w:val="28"/>
        </w:rPr>
        <w:t>Жоғары Еуразиялық экономикалық Кеңестің 2024 жылғы 25 сәуірдегі № 2 шешімі</w:t>
      </w:r>
    </w:p>
    <w:p>
      <w:pPr>
        <w:spacing w:after="0"/>
        <w:ind w:left="0"/>
        <w:jc w:val="both"/>
      </w:pPr>
      <w:bookmarkStart w:name="z1" w:id="0"/>
      <w:r>
        <w:rPr>
          <w:rFonts w:ascii="Times New Roman"/>
          <w:b w:val="false"/>
          <w:i w:val="false"/>
          <w:color w:val="000000"/>
          <w:sz w:val="28"/>
        </w:rPr>
        <w:t xml:space="preserve">
      Кедендік әкелу баждарының (балама күші бар басқа да баждардың, салықтардың және алымдардың) сомаларын есепке алу және бөлу тәртібі туралы </w:t>
      </w:r>
      <w:r>
        <w:rPr>
          <w:rFonts w:ascii="Times New Roman"/>
          <w:b w:val="false"/>
          <w:i w:val="false"/>
          <w:color w:val="000000"/>
          <w:sz w:val="28"/>
        </w:rPr>
        <w:t>Хаттамаға</w:t>
      </w:r>
      <w:r>
        <w:rPr>
          <w:rFonts w:ascii="Times New Roman"/>
          <w:b w:val="false"/>
          <w:i w:val="false"/>
          <w:color w:val="000000"/>
          <w:sz w:val="28"/>
        </w:rPr>
        <w:t xml:space="preserve"> қатысты міндеттемелерді орындау мақсатында оларды мүше мемлекеттердің бюджеттеріне аудару (2014 жылғы 29 мамырдағы Еуразиялық экономикалық одақ туралы № 5 Шартқа қосымша (бұдан әрі – Шарт)) және Еуразиялық экономикалық одаққа мүше мемлекеттердің ұлттық (орталық) банктерінің есеп айырысуларының үздіксіздігі мен үзіліссіз орындалуын қамтамасыз ету үшін (бұдан әрі – мүше мемлекеттер) Жоғары Еуразиялық экономикалық кеңес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Мүше мемлекеттердің үкіметтері мен ұлттық (орталық) банктері Еуразиялық экономикалық комиссиямен бірлесе отырып, импорттық кеден сомасына ақша аудару бойынша қарсы міндеттемелерді орындаудың баламалы тетігін көздейтін арнайы, демпингке қарсы және өтемақы баждары бойынша (бұдан әрі – қарсы міндеттемелер) Шартқа өзгерістер мен толықтырулар енгізу туралы Хаттаманың жобасын жедел әзірлейді.</w:t>
      </w:r>
    </w:p>
    <w:bookmarkEnd w:id="1"/>
    <w:bookmarkStart w:name="z3" w:id="2"/>
    <w:p>
      <w:pPr>
        <w:spacing w:after="0"/>
        <w:ind w:left="0"/>
        <w:jc w:val="both"/>
      </w:pPr>
      <w:r>
        <w:rPr>
          <w:rFonts w:ascii="Times New Roman"/>
          <w:b w:val="false"/>
          <w:i w:val="false"/>
          <w:color w:val="000000"/>
          <w:sz w:val="28"/>
        </w:rPr>
        <w:t xml:space="preserve">
      2. Осы шешімнің 1-тармағында көрсетілген Шартқа өзгерістер енгізу туралы </w:t>
      </w:r>
      <w:r>
        <w:rPr>
          <w:rFonts w:ascii="Times New Roman"/>
          <w:b w:val="false"/>
          <w:i w:val="false"/>
          <w:color w:val="000000"/>
          <w:sz w:val="28"/>
        </w:rPr>
        <w:t>хаттама</w:t>
      </w:r>
      <w:r>
        <w:rPr>
          <w:rFonts w:ascii="Times New Roman"/>
          <w:b w:val="false"/>
          <w:i w:val="false"/>
          <w:color w:val="000000"/>
          <w:sz w:val="28"/>
        </w:rPr>
        <w:t xml:space="preserve"> күшіне енгенге дейін мүше мемлекеттер Жоғарғы Еуразиялық экономикалық кеңестің 18 мамырдағы Шешімінің </w:t>
      </w:r>
      <w:r>
        <w:rPr>
          <w:rFonts w:ascii="Times New Roman"/>
          <w:b w:val="false"/>
          <w:i w:val="false"/>
          <w:color w:val="000000"/>
          <w:sz w:val="28"/>
        </w:rPr>
        <w:t>2-тармағына</w:t>
      </w:r>
      <w:r>
        <w:rPr>
          <w:rFonts w:ascii="Times New Roman"/>
          <w:b w:val="false"/>
          <w:i w:val="false"/>
          <w:color w:val="000000"/>
          <w:sz w:val="28"/>
        </w:rPr>
        <w:t xml:space="preserve"> сәйкес 2022 жылғы №1 "Кедендік әкелу, арнайы, демпингке қарсы және өтемақы баждарын аударудың уақытша тәртібі туралы" міндеттемелерді орындау мүмкіндігіне жүгінеді.</w:t>
      </w:r>
    </w:p>
    <w:bookmarkEnd w:id="2"/>
    <w:bookmarkStart w:name="z4" w:id="3"/>
    <w:p>
      <w:pPr>
        <w:spacing w:after="0"/>
        <w:ind w:left="0"/>
        <w:jc w:val="both"/>
      </w:pPr>
      <w:r>
        <w:rPr>
          <w:rFonts w:ascii="Times New Roman"/>
          <w:b w:val="false"/>
          <w:i w:val="false"/>
          <w:color w:val="000000"/>
          <w:sz w:val="28"/>
        </w:rPr>
        <w:t xml:space="preserve">
      3. 2024 жылғы 1 маусымнан бастап қарсы міндеттемелерді орындау шеңберінде есеп айырысуларды жүзеге асыру мүмкіндігін сақтау үшін мүше мемлекеттердің ұлттық (орталық) банктері корреспонденттік шот шарттарына жаңа қосымша келісімдер жасасуды қамтамасыз етуге міндетті. Жоғары Еуразиялық экономикалық кеңестің 2022 жылғы 18 мамырдағы № 1 Шешімінің </w:t>
      </w:r>
      <w:r>
        <w:rPr>
          <w:rFonts w:ascii="Times New Roman"/>
          <w:b w:val="false"/>
          <w:i w:val="false"/>
          <w:color w:val="000000"/>
          <w:sz w:val="28"/>
        </w:rPr>
        <w:t>2-тармағында</w:t>
      </w:r>
      <w:r>
        <w:rPr>
          <w:rFonts w:ascii="Times New Roman"/>
          <w:b w:val="false"/>
          <w:i w:val="false"/>
          <w:color w:val="000000"/>
          <w:sz w:val="28"/>
        </w:rPr>
        <w:t xml:space="preserve"> айқындалған, қолданылу мерзімі 2 жыл (2026 жылғы 31 мамырға дейін) немесе осы Келісім күшіне енген күнге дейін бұрынырақ механизмді пайдалану. Осы Шешімнің 1-тармағында көрсетілген Шартқа өзгерістер енгізу туралы хаттама қай күн бұрын болатынына байланысты.</w:t>
      </w:r>
    </w:p>
    <w:bookmarkEnd w:id="3"/>
    <w:bookmarkStart w:name="z5" w:id="4"/>
    <w:p>
      <w:pPr>
        <w:spacing w:after="0"/>
        <w:ind w:left="0"/>
        <w:jc w:val="both"/>
      </w:pPr>
      <w:r>
        <w:rPr>
          <w:rFonts w:ascii="Times New Roman"/>
          <w:b w:val="false"/>
          <w:i w:val="false"/>
          <w:color w:val="000000"/>
          <w:sz w:val="28"/>
        </w:rPr>
        <w:t>
      4. Еуразиялық экономикалық комиссия мүше мемлекеттердің үкіметтерімен бірлесіп, 2024 жылдың II және IV тоқсанында мемлекет басшылары деңгейінде өтетін Жоғары Еуразиялық экономикалық кеңестің отырыстарында осы шешімнің орындалу барысы туралы баяндайды.</w:t>
      </w:r>
    </w:p>
    <w:bookmarkEnd w:id="4"/>
    <w:bookmarkStart w:name="z6" w:id="5"/>
    <w:p>
      <w:pPr>
        <w:spacing w:after="0"/>
        <w:ind w:left="0"/>
        <w:jc w:val="both"/>
      </w:pPr>
      <w:r>
        <w:rPr>
          <w:rFonts w:ascii="Times New Roman"/>
          <w:b w:val="false"/>
          <w:i w:val="false"/>
          <w:color w:val="000000"/>
          <w:sz w:val="28"/>
        </w:rPr>
        <w:t>
      5. Осы шешім ресми жарияланған күнінен бастап қолданысқа енгізіледі.</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Жоғары Еуразиялық экономикалық кеңестің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