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0ac0" w14:textId="2d60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одақта тасымалдарды қадағалау үшін Еуразиялық экономикалық одақта навигациялық пломбаларды қолдану туралы келісімде айқындалған навигациялық пломбаларды пайдалана отырып, тасымалдарды қадағалау тетігін Еуразиялық экономикалық одақта енгізу жөніндегі іс-шаралар жоспары ("жол картасы") туралы</w:t>
      </w:r>
    </w:p>
    <w:p>
      <w:pPr>
        <w:spacing w:after="0"/>
        <w:ind w:left="0"/>
        <w:jc w:val="both"/>
      </w:pPr>
      <w:r>
        <w:rPr>
          <w:rFonts w:ascii="Times New Roman"/>
          <w:b w:val="false"/>
          <w:i w:val="false"/>
          <w:color w:val="000000"/>
          <w:sz w:val="28"/>
        </w:rPr>
        <w:t>Еуразиялық экономикалық комиссия Кеңесінің 2023 жылғы 21 сәуірдегі № 12 өкімі</w:t>
      </w:r>
    </w:p>
    <w:p>
      <w:pPr>
        <w:spacing w:after="0"/>
        <w:ind w:left="0"/>
        <w:jc w:val="both"/>
      </w:pPr>
      <w:r>
        <w:rPr>
          <w:rFonts w:ascii="Times New Roman"/>
          <w:b w:val="false"/>
          <w:i w:val="false"/>
          <w:color w:val="000000"/>
          <w:sz w:val="28"/>
        </w:rPr>
        <w:t xml:space="preserve">
      1. Қоса беріліп отырған Еуразиялық экономикалық одақта тасымалдарды қадағалау үшін Еуразиялық экономикалық одақта навигациялық пломбаларды қолдану туралы келісімде айқындалған навигациялық пломбаларды пайдалана отырып, тасымалдарды қадағалау тетігін (бұдан әрі – жоспар) енгізу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("жол картасы") бекітілсін.</w:t>
      </w:r>
    </w:p>
    <w:bookmarkStart w:name="z0"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Еуразиялық экономикалық одаққа мүше мемлекеттерден Еуразиялық экономикалық комиссиямен бірлесіп жоспарда көзделген іс-шаралардың іске асырылуын қамтамасыз етуді сұрау.</w:t>
      </w:r>
    </w:p>
    <w:bookmarkEnd w:id="0"/>
    <w:p>
      <w:pPr>
        <w:spacing w:after="0"/>
        <w:ind w:left="0"/>
        <w:jc w:val="both"/>
      </w:pPr>
      <w:r>
        <w:rPr>
          <w:rFonts w:ascii="Times New Roman"/>
          <w:b w:val="false"/>
          <w:i w:val="false"/>
          <w:color w:val="000000"/>
          <w:sz w:val="28"/>
        </w:rPr>
        <w:t>
      3. Осы өкім 2022 жылғы 19 сәуірде қол қойылған тасымалдарды қадағалау үшін Еуразиялық экономикалық одақта навигациялық пломбаларды қолдану туралы Келісім күшіне енген күннен бастап күшіне енеді.</w:t>
      </w:r>
    </w:p>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С</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21 сәуірдегі № 12 өкімімен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Еуразиялық экономикалық одақта тасымалдарды қадағалау үшін Еуразиялық экономикалық одақта навигациялық пломбаларды қолдану туралы келісімде айқындалған навигациялық пломбаларды пайдалана отырып, тасымалдарды қадағалау тетігін Еуразиялық экономикалық одақта енгізу жөніндегі іс-шаралар ("жол картасы") ЖОСПАРЫ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нәтиже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Еуразиялық экономикалық одақта (бұдан әрі – Одақ) навигациялық пломбаларды пайдалана отырып тасымалдарды қадағалау тетігінің жұмыс істеуін қамтамасыз ету үшін қажетті Еуразиялық экономикалық комиссияның (бұдан әрі − Комиссия) шешімдерін әзірлеу және қабылдау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қосымшаға сәйкес тізбе бойынша Комиссия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Одаққа мүше мемлекеттер (бұдан әрі-мүше мемлекеттер)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мерзімдерге сәйкес</w:t>
            </w:r>
          </w:p>
          <w:p>
            <w:pPr>
              <w:spacing w:after="20"/>
              <w:ind w:left="20"/>
              <w:jc w:val="both"/>
            </w:pPr>
            <w:r>
              <w:rPr>
                <w:rFonts w:ascii="Times New Roman"/>
                <w:b w:val="false"/>
                <w:i w:val="false"/>
                <w:color w:val="000000"/>
                <w:sz w:val="20"/>
              </w:rPr>
              <w:t>
осы жоспарға қосымша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2022 жылғы 19 сәуірде қол қойылған тасымалдарды қадағалау үшін Еуразиялық экономикалық одақта навигациялық пломбаларды қолдану туралы келісімнің (бұдан әрі – Келісім)3-бабының 3-тармағында көзделген тізілімді қалыптастыру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шаралар қолданылатын мүше мемлекеттердің комиссияға осындай шаралар қолданылатын тауарлар туралы ақпарат беруі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жоспарға қосымшаның 3-тармағында көзделген шешіммен айқындалған мерзімдерге сәйкес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 (тізілім түрінде) өздеріне қатысты тауарлар туралы ақпаратты орналастыру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 арнайы экономикалық шараларды қолданады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күннен бастап 10 жұмыс күнінен кешіктірмей</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мүше мемлекеттен ақпарат түскен күннен кейін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3. Мүше мемлекеттердегі ұлттық операторларды айқындау (қажет болған жағдайда)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 акті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Келісім күшіне енген күннен бастап 30 күнтізбелік күн </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Осы мемлекеттің бақылаушы органдарымен және басқа мүше мемлекеттердің уәкілетті операторларымен (органдарымен) өзара іс-қимыл жасауға уәкілетті уәкілетті операторды (органды)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акті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күшіне енген күннен бастап 30 күнтізбелік күн</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комиссияға уәкілетті операторлар (органдар)туралы ақпаратты ұсынуы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күшіне енген күннен бастап 30 күнтізбелік күн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мүше мемлекеттерге уәкілетті операторлар (органдар)туралы ақпарат жіберуі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мемлекеттен ақпарат келіп түскен күннен кейінгі күннен бастап 10 жұмыс күні ішінде</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Келісімнің 17-бабында көзделген уақытша интеграциялық техникалық шешімдерді іске асыру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6. Ұлттық оператордың қызметтеріне бағаларды (тарифтерді) айқындау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7. Уәкілетті операторлар (органдар)арасында келісім жасасу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оператордың (органның) уақытша интеграциялық техникалық шешімдер қабылдауға дайындығы туралы Комиссияны хабардар ету (Келісімнің 18-бабының 4-тармағы)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келісімнің 9-бабының 2-тармағында көзделген бағдарламалық-аппараттық кешен құрылғанға және қолданысқа енгізілгенге дейін тасымалдарды қадағалауды қамтамасыз ету</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18-бабы 3-тармағының орындалуы туралы уәкілетті оператордан (органнан) ақпарат алынған күннен бастап 10 күнтізбелік күн ішінде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плануосы жоспарға қосымшаның 17-тармағында көзделген уақытша интеграциялық техникалық шешімдерге қойылатын талаптарды айқындау мәселесі жөніндегі комиссия шешімі ресми жарияланған күннен бастап күнтізбелік 90 күн ішінде </w:t>
            </w:r>
          </w:p>
          <w:p>
            <w:pPr>
              <w:spacing w:after="20"/>
              <w:ind w:left="20"/>
              <w:jc w:val="both"/>
            </w:pPr>
          </w:p>
          <w:p>
            <w:pPr>
              <w:spacing w:after="20"/>
              <w:ind w:left="20"/>
              <w:jc w:val="both"/>
            </w:pPr>
            <w:r>
              <w:rPr>
                <w:rFonts w:ascii="Times New Roman"/>
                <w:b w:val="false"/>
                <w:i w:val="false"/>
                <w:color w:val="000000"/>
                <w:sz w:val="20"/>
              </w:rPr>
              <w:t>
2023 жылғы қыркүйек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қыркүйек.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жалпы процесс қолданысқа енгізілгенге дейін уәкілетті операторлар (органдар) арасында мәліметтер алмасуды қамтамасыз ету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мүше мемлекеттер акті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операторлар (органдар)арасындағы өзара іс-қимыл туралы келісім шартта мүше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операторлар (органдар)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Одақта навигациялық пломбаларды қолдана отырып тасымалдарды қадағалау тетігінің жұмыс істеуін қамтамасыз ету үшін қажетті мүше мемлекеттердің актілерін әзірлеу және қабылдау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мемлекеттердің құзыретіне жатқызылған мәселелер бойынша мүше мемлекеттердің актілері: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 осы мүше мемлекеттің ұлттық операторлары мен уәкілетті операторы (органы) арасындағы өзара іс-қимылды, сондай-ақ олар алмасатын мәліметтер құрамын жүзеге асыру тәртібін айқындау (Келісімнің 4-бабының 4-тармағы)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ұлттық оператордың мүше мемлекеттердің аумақтары бойынша тасымалдарды қадағалау үшін қолданылатын ақпараттық жүйенің жұмысын қамтамасыз ету жөніндегі міндетті орындамағаны немесе тиісінше орындамағаны үшін жауапкершілікті белгілеу (Келісімнің 5-бабының 1-тармағы)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ұлттық операторлардың ақпараттық жүйелеріне қосымша талаптар белгілеу (қажет болған жағдайда) (Келісімнің 5-бабының 2-тармағы)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Келісімнің 5-бабы 2-тармағының төртінші абзацында (қажет болған жағдайда) көрсетілген мәліметтер мен ақпаратты сақтаудың неғұрлым ұзақ мерзімін белгілеу (Келісімнің 5-бабының 3-тармағы)</w:t>
            </w:r>
          </w:p>
          <w:p>
            <w:pPr>
              <w:spacing w:after="20"/>
              <w:ind w:left="20"/>
              <w:jc w:val="both"/>
            </w:pPr>
            <w:r>
              <w:rPr>
                <w:rFonts w:ascii="Times New Roman"/>
                <w:b w:val="false"/>
                <w:i w:val="false"/>
                <w:color w:val="000000"/>
                <w:sz w:val="20"/>
              </w:rPr>
              <w:t>
одақтың кедендік аумағында навигациялық пломбаларды салу және алу орындарын, навигациялық пломбаларды салу (Алып тастау) кезінде навигациялық пломбаларды салатын (алып тастайтын) және қатысатын адамдарды, одақтың кедендік аумағында навигациялық пломбаларды салу (Алып тастау) жөніндегі операцияларды және навигациялық пломба қамтуға тиіс құжаттарды (мәліметтерді) беру тәртібін қоса алғанда, оларды жасау тәртібін айқындау, осындай құжаттарды (мәліметтерді) сақтау, сондай-ақ комиссия (қажет болған жағдайда) көздеген жағдайларда бұрын жазылған ақпаратты жою (өшіру) тәртібі (келісімнің 8-бабының 1-тармағы)</w:t>
            </w:r>
          </w:p>
          <w:p>
            <w:pPr>
              <w:spacing w:after="20"/>
              <w:ind w:left="20"/>
              <w:jc w:val="both"/>
            </w:pPr>
          </w:p>
          <w:p>
            <w:pPr>
              <w:spacing w:after="20"/>
              <w:ind w:left="20"/>
              <w:jc w:val="both"/>
            </w:pPr>
            <w:r>
              <w:rPr>
                <w:rFonts w:ascii="Times New Roman"/>
                <w:b w:val="false"/>
                <w:i w:val="false"/>
                <w:color w:val="000000"/>
                <w:sz w:val="20"/>
              </w:rPr>
              <w:t>
уәкілетті оператор (орган) өзінің мүше мемлекетінің бақылаушы органына жеткізетін мәліметтерді айқындау (Келісімнің 13-бабы 1-тармағының үшінші абзацы)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мемлекеттің бақылаушы органдары мен осы мемлекеттің уәкілетті операторы (органы) арасында (оның ішінде келісімнің 8-бабы 4-тармағының екінші абзацында көзделген жағдайда, штаттан тыс жағдай туындаған және (немесе) санкцияланбаған әрекетті жүзеге асырған, навигациялық пломбаларды ауыстырған немесе алып тастаған кезде) өзара іс-қимылды (ақпараттық пломбаны қоса алғанда) жүзеге асыру тәртібін айқындау жүру (тасымалдау) жолындағы пломбалар), сондай-ақ мәліметтер құрамы, уәкілетті оператор (орган) және бақылаушы органдар алмасады (Келісімнің 13-бабының 2-тармағы)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бақылаушы органдардың өз мүше мемлекетінің ұлттық операторларымен өзара іс-қимыл жасау тәртібін айқындау,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операторлар (органдар) болып табылмайтын (қажет болған жағдайда) (Келісімнің 13-бабының 3-тармағы)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ұлттық оператор қадағалау объектісін навигациялық пломбалармен қамтамасыз етуге жауапты тұлғаға беретін мәліметтер құрамын айқындау (Келісімнің 15-бабы)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bl>
    <w:bookmarkStart w:name="z4" w:id="2"/>
    <w:p>
      <w:pPr>
        <w:spacing w:after="0"/>
        <w:ind w:left="0"/>
        <w:jc w:val="both"/>
      </w:pPr>
      <w:r>
        <w:rPr>
          <w:rFonts w:ascii="Times New Roman"/>
          <w:b w:val="false"/>
          <w:i w:val="false"/>
          <w:color w:val="000000"/>
          <w:sz w:val="28"/>
        </w:rPr>
        <w:t>
      Ескерту. Осы жоспарда пайдаланылатын ұғымдар Келісімде айқындалған мәндерде қолданылады.</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одақта тасымалдарды қадағалау үшін Еуразиялық экономикалық одақта навигациялық пломбаларды қолдану туралы келісімде айқындалған навигациялық пломбаларды пайдалана отырып, тасымалдарды қадағалау тетігін Еуразиялық экономикалық одақта енгізу жөніндегі іс-шаралар жоспарына ("Жол картасына") қосымша</w:t>
            </w:r>
          </w:p>
        </w:tc>
      </w:tr>
    </w:tbl>
    <w:bookmarkStart w:name="z6" w:id="3"/>
    <w:p>
      <w:pPr>
        <w:spacing w:after="0"/>
        <w:ind w:left="0"/>
        <w:jc w:val="left"/>
      </w:pPr>
      <w:r>
        <w:rPr>
          <w:rFonts w:ascii="Times New Roman"/>
          <w:b/>
          <w:i w:val="false"/>
          <w:color w:val="000000"/>
        </w:rPr>
        <w:t xml:space="preserve"> Еуразиялық экономикалық одақта навигациялық пломбаларды қолдана отырып тасымалдарды қадағалау тетігінің жұмыс істеуін қамтамасыз ету үшін қажетті Еуразиялық экономикалық комиссияның шешімдерін қабылдау көзделген мәселелердің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комиссияның шешімін қабылдау көзделген мәселелер</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комиссияның шешім қабылдау негізі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комиссияның шешімін әзірлеу және қабылдау мерзімдері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Тауарларды және (немесе) тауарлар санаттарын, тауарларды кедендік транзиттің кедендік рәсіміне сәйкес тасымалдау навигациялық пломбаларды қолдана отырып қадағалауға жатпайтын жағдайларды және (немесе) жағдайларды айқындау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одақта тасымалдарды қадағалау үшін навигациялық пломбаларды қолдану туралы келісімнің (бұдан әрі − Келісім)3-бабы 2-тармағының 1-тармақшасы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Комиссия),Еуразиялық экономикалық одаққа мүше мемлекеттер (бұдан әрі тиісінше –мүше мемлекеттер, одақ)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 (шешім қабылдау)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Қадағалау объектісін навигациялық пломбалардың қажетті санымен қамтамасыз етуге жауапты адамдарды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3-бабы 2-тармағының 3-тармақшасы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(әзірлеу),Комиссия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 (әзірлеу),</w:t>
            </w:r>
          </w:p>
          <w:p>
            <w:pPr>
              <w:spacing w:after="20"/>
              <w:ind w:left="20"/>
              <w:jc w:val="both"/>
            </w:pPr>
            <w:r>
              <w:rPr>
                <w:rFonts w:ascii="Times New Roman"/>
                <w:b w:val="false"/>
                <w:i w:val="false"/>
                <w:color w:val="000000"/>
                <w:sz w:val="20"/>
              </w:rPr>
              <w:t>
2023 жылғы шілде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Мүше мемлекеттер өздеріне қатысты арнайы экономикалық шаралар қолданатын тауарлар тізілімінің нысанын, мүше мемлекеттер ұсынатын осындай тауарлар туралы ақпараттың құрамын және оны ұсыну тәртібін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3-бабы 3-тармағының екінші 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шілде </w:t>
            </w:r>
          </w:p>
          <w:p>
            <w:pPr>
              <w:spacing w:after="20"/>
              <w:ind w:left="20"/>
              <w:jc w:val="both"/>
            </w:pPr>
            <w:r>
              <w:rPr>
                <w:rFonts w:ascii="Times New Roman"/>
                <w:b w:val="false"/>
                <w:i w:val="false"/>
                <w:color w:val="000000"/>
                <w:sz w:val="20"/>
              </w:rPr>
              <w:t>
(шешім қабылдау)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Мүше мемлекеттердің аумақтары бойынша тасымалдарды қадағалау үшін қолданылатын навигациялық пломбаларға қойылатын талаптарды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6-бабының 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шілде </w:t>
            </w:r>
          </w:p>
          <w:p>
            <w:pPr>
              <w:spacing w:after="20"/>
              <w:ind w:left="20"/>
              <w:jc w:val="both"/>
            </w:pPr>
            <w:r>
              <w:rPr>
                <w:rFonts w:ascii="Times New Roman"/>
                <w:b w:val="false"/>
                <w:i w:val="false"/>
                <w:color w:val="000000"/>
                <w:sz w:val="20"/>
              </w:rPr>
              <w:t>
(шешім қабылдау)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w:t>
            </w:r>
            <w:r>
              <w:rPr>
                <w:rFonts w:ascii="Times New Roman"/>
                <w:b w:val="false"/>
                <w:i w:val="false"/>
                <w:color w:val="000000"/>
                <w:sz w:val="20"/>
              </w:rPr>
              <w:t xml:space="preserve"> </w:t>
            </w:r>
            <w:r>
              <w:rPr>
                <w:rFonts w:ascii="Times New Roman"/>
                <w:b/>
                <w:i w:val="false"/>
                <w:color w:val="000000"/>
                <w:sz w:val="20"/>
              </w:rPr>
              <w:t>Бірегей тасымалдау нөмірінің құрылымын анықтау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7 - бабы 4-тармағының екінші 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шілде </w:t>
            </w:r>
          </w:p>
          <w:p>
            <w:pPr>
              <w:spacing w:after="20"/>
              <w:ind w:left="20"/>
              <w:jc w:val="both"/>
            </w:pPr>
            <w:r>
              <w:rPr>
                <w:rFonts w:ascii="Times New Roman"/>
                <w:b w:val="false"/>
                <w:i w:val="false"/>
                <w:color w:val="000000"/>
                <w:sz w:val="20"/>
              </w:rPr>
              <w:t>
(шешім қабылдау)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Нақты тасымалдауды қадағалау кезеңінде навигациялық пломбада қамтылған электрондық құжаттарды және (немесе) құжаттардан мәліметтерді сақтауды ұйымдастыруға қойылатын талаптарды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7 - бабы 4-тармағының екінші 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p>
            <w:pPr>
              <w:spacing w:after="20"/>
              <w:ind w:left="20"/>
              <w:jc w:val="both"/>
            </w:pPr>
            <w:r>
              <w:rPr>
                <w:rFonts w:ascii="Times New Roman"/>
                <w:b w:val="false"/>
                <w:i w:val="false"/>
                <w:color w:val="000000"/>
                <w:sz w:val="20"/>
              </w:rPr>
              <w:t>
(шешім қабылдау)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w:t>
            </w:r>
            <w:r>
              <w:rPr>
                <w:rFonts w:ascii="Times New Roman"/>
                <w:b/>
                <w:i w:val="false"/>
                <w:color w:val="000000"/>
                <w:sz w:val="20"/>
              </w:rPr>
              <w:t>Нақты тасымалдауды қадағалау кезеңінде навигациялық пломба қамтуға тиіс электрондық құжаттардан және (немесе) құжаттардан алынған мәліметтер құрамын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Келісімнің 7 - бабы 4-тармағының үшінші абзацы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p>
            <w:pPr>
              <w:spacing w:after="20"/>
              <w:ind w:left="20"/>
              <w:jc w:val="both"/>
            </w:pPr>
            <w:r>
              <w:rPr>
                <w:rFonts w:ascii="Times New Roman"/>
                <w:b w:val="false"/>
                <w:i w:val="false"/>
                <w:color w:val="000000"/>
                <w:sz w:val="20"/>
              </w:rPr>
              <w:t>
(шешім қабылдау)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Нақты тасымалдауды қадағалау кезеңінде навигациялық пломба қамтуы тиіс электрондық құжаттардың және (немесе) құжаттардан алынған мәліметтердің құрылымдары мен форматтарын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Келісімнің 7 - бабы 4-тармағының төртінші 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 қыркүйек</w:t>
            </w:r>
          </w:p>
          <w:p>
            <w:pPr>
              <w:spacing w:after="20"/>
              <w:ind w:left="20"/>
              <w:jc w:val="both"/>
            </w:pPr>
            <w:r>
              <w:rPr>
                <w:rFonts w:ascii="Times New Roman"/>
                <w:b w:val="false"/>
                <w:i w:val="false"/>
                <w:color w:val="000000"/>
                <w:sz w:val="20"/>
              </w:rPr>
              <w:t>
(шешім қабылдау)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w:t>
            </w:r>
            <w:r>
              <w:rPr>
                <w:rFonts w:ascii="Times New Roman"/>
                <w:b w:val="false"/>
                <w:i w:val="false"/>
                <w:color w:val="000000"/>
                <w:sz w:val="20"/>
              </w:rPr>
              <w:t xml:space="preserve"> </w:t>
            </w:r>
            <w:r>
              <w:rPr>
                <w:rFonts w:ascii="Times New Roman"/>
                <w:b/>
                <w:i w:val="false"/>
                <w:color w:val="000000"/>
                <w:sz w:val="20"/>
              </w:rPr>
              <w:t>Навигациялық пломбадағы ақпаратты қорғаудың бірыңғай шараларын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7 - бабы 4-тармағының бесінші 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p>
            <w:pPr>
              <w:spacing w:after="20"/>
              <w:ind w:left="20"/>
              <w:jc w:val="both"/>
            </w:pPr>
            <w:r>
              <w:rPr>
                <w:rFonts w:ascii="Times New Roman"/>
                <w:b w:val="false"/>
                <w:i w:val="false"/>
                <w:color w:val="000000"/>
                <w:sz w:val="20"/>
              </w:rPr>
              <w:t>
(шешім қабылдау)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w:t>
            </w:r>
            <w:r>
              <w:rPr>
                <w:rFonts w:ascii="Times New Roman"/>
                <w:b w:val="false"/>
                <w:i w:val="false"/>
                <w:color w:val="000000"/>
                <w:sz w:val="20"/>
              </w:rPr>
              <w:t xml:space="preserve"> </w:t>
            </w:r>
            <w:r>
              <w:rPr>
                <w:rFonts w:ascii="Times New Roman"/>
                <w:b/>
                <w:i w:val="false"/>
                <w:color w:val="000000"/>
                <w:sz w:val="20"/>
              </w:rPr>
              <w:t>Одақтың кедендік аумағында навигациялық пломбаларды салу және алу орындарын, навигациялық пломбаларды салу (Алып тастау) кезінде навигациялық пломбаларды салатын (алып тастайтын) және қатысатын адамдарды, навигациялық пломбаны қамтуы тиіс құжаттарды (мәліметтерді) беру тәртібін қоса алғанда, навигациялық пломбаларды салу (Алып тастау) жөніндегі операцияларды және оларды жасау тәртібін айқындау, осындай құжаттарды сақтау (), сондай-ақ бұрын жазылған ақпаратты не бұл мүше мемлекеттердің заңнамасында айқындалған жағдайларды жою (жою) тәртібі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8-бабы 1-тармағының екінші 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(әзірлеу), комиссия, мүше мемлекеттер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p>
            <w:pPr>
              <w:spacing w:after="20"/>
              <w:ind w:left="20"/>
              <w:jc w:val="both"/>
            </w:pPr>
            <w:r>
              <w:rPr>
                <w:rFonts w:ascii="Times New Roman"/>
                <w:b w:val="false"/>
                <w:i w:val="false"/>
                <w:color w:val="000000"/>
                <w:sz w:val="20"/>
              </w:rPr>
              <w:t>
(әзірлеу),</w:t>
            </w:r>
          </w:p>
          <w:p>
            <w:pPr>
              <w:spacing w:after="20"/>
              <w:ind w:left="20"/>
              <w:jc w:val="both"/>
            </w:pPr>
            <w:r>
              <w:rPr>
                <w:rFonts w:ascii="Times New Roman"/>
                <w:b w:val="false"/>
                <w:i w:val="false"/>
                <w:color w:val="000000"/>
                <w:sz w:val="20"/>
              </w:rPr>
              <w:t>
2023 жылғы шілде</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w:t>
            </w:r>
            <w:r>
              <w:rPr>
                <w:rFonts w:ascii="Times New Roman"/>
                <w:b/>
                <w:i w:val="false"/>
                <w:color w:val="000000"/>
                <w:sz w:val="20"/>
              </w:rPr>
              <w:t>Навигациялық пломбаны белсендіру және сөндіру үшін қажетті бақылаушы органдар мен ұлттық операторлардың іс-қимылдарын және егер мүше мемлекеттердің аумақтары бойынша тасымалдарды қадағалау үшін аумағында осындай тасымалдауды қадағалау басталатын мүше мемлекетке қарағанда өзге мүше мемлекеттің ұлттық операторының ақпараттық жүйесінде тіркелген навигациялық пломба пайдаланылса, оларды жасау тәртібін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8-бабы 4-тармағының екінші 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Российская Федерация (разработка), </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государства-члены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p>
            <w:pPr>
              <w:spacing w:after="20"/>
              <w:ind w:left="20"/>
              <w:jc w:val="both"/>
            </w:pPr>
            <w:r>
              <w:rPr>
                <w:rFonts w:ascii="Times New Roman"/>
                <w:b w:val="false"/>
                <w:i w:val="false"/>
                <w:color w:val="000000"/>
                <w:sz w:val="20"/>
              </w:rPr>
              <w:t>
(әзірлеу),</w:t>
            </w:r>
          </w:p>
          <w:p>
            <w:pPr>
              <w:spacing w:after="20"/>
              <w:ind w:left="20"/>
              <w:jc w:val="both"/>
            </w:pPr>
            <w:r>
              <w:rPr>
                <w:rFonts w:ascii="Times New Roman"/>
                <w:b w:val="false"/>
                <w:i w:val="false"/>
                <w:color w:val="000000"/>
                <w:sz w:val="20"/>
              </w:rPr>
              <w:t>
2023 жылғы шілде</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Навигациялық пломба қадағалау объектісін байқауды, оны алу және кейіннен салу жөніндегі операцияларды, сондай-ақ ұлттық операторлардың, уәкілетті операторлардың (органдардың) және осындай алу кезінде тартылған бақылаушы органдардың іс-қимылдарын және осындай іс-әрекеттерді жасау тәртібін тоқтатпай жүру (тасымалдау) жолында алынып тасталуы мүмкін жағдайларды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10-бабының 1 және 2-тармақтары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p>
            <w:pPr>
              <w:spacing w:after="20"/>
              <w:ind w:left="20"/>
              <w:jc w:val="both"/>
            </w:pPr>
            <w:r>
              <w:rPr>
                <w:rFonts w:ascii="Times New Roman"/>
                <w:b w:val="false"/>
                <w:i w:val="false"/>
                <w:color w:val="000000"/>
                <w:sz w:val="20"/>
              </w:rPr>
              <w:t>
(әзірлеу),</w:t>
            </w:r>
          </w:p>
          <w:p>
            <w:pPr>
              <w:spacing w:after="20"/>
              <w:ind w:left="20"/>
              <w:jc w:val="both"/>
            </w:pPr>
            <w:r>
              <w:rPr>
                <w:rFonts w:ascii="Times New Roman"/>
                <w:b w:val="false"/>
                <w:i w:val="false"/>
                <w:color w:val="000000"/>
                <w:sz w:val="20"/>
              </w:rPr>
              <w:t>
2023 жылғы шілде</w:t>
            </w:r>
          </w:p>
          <w:p>
            <w:pPr>
              <w:spacing w:after="20"/>
              <w:ind w:left="20"/>
              <w:jc w:val="both"/>
            </w:pPr>
            <w:r>
              <w:rPr>
                <w:rFonts w:ascii="Times New Roman"/>
                <w:b w:val="false"/>
                <w:i w:val="false"/>
                <w:color w:val="000000"/>
                <w:sz w:val="20"/>
              </w:rPr>
              <w:t>
(ше)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w:t>
            </w:r>
            <w:r>
              <w:rPr>
                <w:rFonts w:ascii="Times New Roman"/>
                <w:b w:val="false"/>
                <w:i w:val="false"/>
                <w:color w:val="000000"/>
                <w:sz w:val="20"/>
              </w:rPr>
              <w:t xml:space="preserve"> </w:t>
            </w:r>
            <w:r>
              <w:rPr>
                <w:rFonts w:ascii="Times New Roman"/>
                <w:b/>
                <w:i w:val="false"/>
                <w:color w:val="000000"/>
                <w:sz w:val="20"/>
              </w:rPr>
              <w:t>Мүше мемлекеттердің аумақтары бойынша қадағалау объектісінің жүру (тасымалдау) жолында навигациялық пломбаны ауыстыруға жол берілетін жағдайларды, оны ауыстыру жөніндегі операцияларды, осындай ауыстыру кезінде іске қосылған ұлттық операторлардың, уәкілетті операторлардың (органдардың) және бақылаушы органдардың іс-қимылдарын және оларды жасау тәртібін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10-бабының 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2023 г.</w:t>
            </w:r>
          </w:p>
          <w:p>
            <w:pPr>
              <w:spacing w:after="20"/>
              <w:ind w:left="20"/>
              <w:jc w:val="both"/>
            </w:pPr>
            <w:r>
              <w:rPr>
                <w:rFonts w:ascii="Times New Roman"/>
                <w:b w:val="false"/>
                <w:i w:val="false"/>
                <w:color w:val="000000"/>
                <w:sz w:val="20"/>
              </w:rPr>
              <w:t>
(разработка),</w:t>
            </w:r>
          </w:p>
          <w:p>
            <w:pPr>
              <w:spacing w:after="20"/>
              <w:ind w:left="20"/>
              <w:jc w:val="both"/>
            </w:pPr>
            <w:r>
              <w:rPr>
                <w:rFonts w:ascii="Times New Roman"/>
                <w:b w:val="false"/>
                <w:i w:val="false"/>
                <w:color w:val="000000"/>
                <w:sz w:val="20"/>
              </w:rPr>
              <w:t>
июль 2023 г.</w:t>
            </w:r>
          </w:p>
          <w:p>
            <w:pPr>
              <w:spacing w:after="20"/>
              <w:ind w:left="20"/>
              <w:jc w:val="both"/>
            </w:pPr>
            <w:r>
              <w:rPr>
                <w:rFonts w:ascii="Times New Roman"/>
                <w:b w:val="false"/>
                <w:i w:val="false"/>
                <w:color w:val="000000"/>
                <w:sz w:val="20"/>
              </w:rPr>
              <w:t>
(принятие решения)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Мүше мемлекеттердің аумақтары бойынша жүру (тасымалдау) жолында туындаған штаттан тыс жағдайларға жатқызылатын жағдайларды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11-бабының 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(әзірлеу), Комиссия, </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p>
            <w:pPr>
              <w:spacing w:after="20"/>
              <w:ind w:left="20"/>
              <w:jc w:val="both"/>
            </w:pPr>
            <w:r>
              <w:rPr>
                <w:rFonts w:ascii="Times New Roman"/>
                <w:b w:val="false"/>
                <w:i w:val="false"/>
                <w:color w:val="000000"/>
                <w:sz w:val="20"/>
              </w:rPr>
              <w:t>
(әзірлеу),</w:t>
            </w:r>
          </w:p>
          <w:p>
            <w:pPr>
              <w:spacing w:after="20"/>
              <w:ind w:left="20"/>
              <w:jc w:val="both"/>
            </w:pPr>
            <w:r>
              <w:rPr>
                <w:rFonts w:ascii="Times New Roman"/>
                <w:b w:val="false"/>
                <w:i w:val="false"/>
                <w:color w:val="000000"/>
                <w:sz w:val="20"/>
              </w:rPr>
              <w:t>
2023 жылғы сәуір</w:t>
            </w:r>
          </w:p>
          <w:p>
            <w:pPr>
              <w:spacing w:after="20"/>
              <w:ind w:left="20"/>
              <w:jc w:val="both"/>
            </w:pPr>
            <w:r>
              <w:rPr>
                <w:rFonts w:ascii="Times New Roman"/>
                <w:b w:val="false"/>
                <w:i w:val="false"/>
                <w:color w:val="000000"/>
                <w:sz w:val="20"/>
              </w:rPr>
              <w:t>
(шешім қабылдау)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Штаттан тыс жағдай туындаған және (немесе) санкцияланбаған әрекетті жүзеге асырған кезде мүше мемлекеттердің аумақтары бойынша тасымалдауды қадағалайтын ұлттық оператордың, штаттан тыс жағдайдың туындағаны туралы ақпарат берілген басқа мүше мемлекеттердің ұлттық операторларының, уәкілетті операторларының (органдарының) іс-қимылдарын айқындау және (немесе) тиісті ақпаратты және оларды жасау тәртібін алған кезде бақылаушы органдардың рұқсатсыз әрекетін жүзеге асыру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 статьи 11 </w:t>
            </w:r>
          </w:p>
          <w:p>
            <w:pPr>
              <w:spacing w:after="20"/>
              <w:ind w:left="20"/>
              <w:jc w:val="both"/>
            </w:pPr>
            <w:r>
              <w:rPr>
                <w:rFonts w:ascii="Times New Roman"/>
                <w:b w:val="false"/>
                <w:i w:val="false"/>
                <w:color w:val="000000"/>
                <w:sz w:val="20"/>
              </w:rPr>
              <w:t>Соглашения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(әзірлеу), </w:t>
            </w:r>
          </w:p>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p>
            <w:pPr>
              <w:spacing w:after="20"/>
              <w:ind w:left="20"/>
              <w:jc w:val="both"/>
            </w:pPr>
            <w:r>
              <w:rPr>
                <w:rFonts w:ascii="Times New Roman"/>
                <w:b w:val="false"/>
                <w:i w:val="false"/>
                <w:color w:val="000000"/>
                <w:sz w:val="20"/>
              </w:rPr>
              <w:t>
(әзірлеу),</w:t>
            </w:r>
          </w:p>
          <w:p>
            <w:pPr>
              <w:spacing w:after="20"/>
              <w:ind w:left="20"/>
              <w:jc w:val="both"/>
            </w:pPr>
            <w:r>
              <w:rPr>
                <w:rFonts w:ascii="Times New Roman"/>
                <w:b w:val="false"/>
                <w:i w:val="false"/>
                <w:color w:val="000000"/>
                <w:sz w:val="20"/>
              </w:rPr>
              <w:t>
2023 жылғы сәуір</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Әрбір бақыланатын тасымалдау бойынша уәкілетті операторлар (органдар) алмасатын мәліметтерді және уәкілетті операторлар (органдар)арасындағы ақпараттық өзара іс-қимыл тәртібін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12-бабы 2-тармағының екінші және үшінші абзацтары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10-15-тармақтарында көрсетілген шешімдер ресми жарияланған күннен бастап 2 ай ішінде шешім қабылдау, қай күн неғұрлым кеш болып табылатынына байланысты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17. </w:t>
            </w:r>
            <w:r>
              <w:rPr>
                <w:rFonts w:ascii="Times New Roman"/>
                <w:b/>
                <w:i w:val="false"/>
                <w:color w:val="000000"/>
                <w:sz w:val="20"/>
              </w:rPr>
              <w:t>Ұлттық операторлардың қатысуымен уәкілетті операторлар (органдар) қабылдайтын уақытша интеграциялық техникалық шешімдерге қойылатын талаптарды, сондай-ақ ұлттық операторлардың ақпараттық жүйелерінде есепке алуға және сақтауға жататын әрбір бақыланатын тасымалдау жөніндегі мәліметтерді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Келісімнің 5 - бабы 2-тармағының төртінші абзацы, 17-бабының 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осы тізбенің 10-15 – тармақтарында көрсетілген шешімдер ресми жарияланған күннен бастап 2 ай ішінде шешім қабылдау, қай күн неғұрлым кеш болып табылатынына байланысты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i w:val="false"/>
                <w:color w:val="000000"/>
                <w:sz w:val="20"/>
              </w:rPr>
              <w:t> </w:t>
            </w:r>
            <w:r>
              <w:rPr>
                <w:rFonts w:ascii="Times New Roman"/>
                <w:b/>
                <w:i w:val="false"/>
                <w:color w:val="000000"/>
                <w:sz w:val="20"/>
              </w:rPr>
              <w:t>Одақтың интеграцияланған ақпараттық жүйесін пайдалана отырып, бақылаушы органдардың мемлекетаралық ақпараттық өзара іс-қимыл жасау тәртібін айқындау (мемлекеттік бақылау (қадағалау) түріне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Келісімнің 14-бабы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жылғы мамыр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19.  Мүше мемлекеттердің аумақтары бойынша келісімге сәйкес тасымалданатын тауарларға (өнімдерге) қатысты мемлекеттік бақылау (қадағалау) жүргізу мониторингі мақсатында тасымалдау процесінде қабылданған бақылау шаралары мен нысандары туралы ақпарат алмасу тәртібін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Келісімнің 2-бабы 4-тармағының жетінші абзацы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(әзірлеу),</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осы тізбенің 10-15 – тармақтарында көрсетілген шешімдер ресми жарияланған күннен бастап 2 ай ішінде шешім қабылдау, қай күн неғұрлым кеш болып табылатынына байланысты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20.  Навигациялық пломбалар Келісімнің 3 – бабы 1-тармағының 1-3-тармақшаларында көрсетілген немесе Комиссия Келісімнің 3-бабы 1-тармағының 4-тармақшасына сәйкес айқындаған, оларды тасымалдау кезінде осы тармақшаларда (қажет болған жағдайда)көрсетілген көлік түрлеріне қарағанда көліктің өзге де түрлерімен жүзеге асырылатын қадағалау объектілерін қадағалау үшін қолданылатын жағдайларды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Келісімнің 3-бабы 2-тармағының 2-тармақшасы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 (ұсыныстар дайындау),</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мерзімі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w:t>
            </w:r>
            <w:r>
              <w:rPr>
                <w:rFonts w:ascii="Times New Roman"/>
                <w:b/>
                <w:i w:val="false"/>
                <w:color w:val="000000"/>
                <w:sz w:val="20"/>
              </w:rPr>
              <w:t>Келісімнің 3 – бабы 1-тармағының 1-3-тармақшаларында көрсетілгендерден басқа, автомобиль және (немесе) теміржол көлігі түрлерімен тасымалданатын өзге де бақылау объектілерін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3-бабы 1-тармағының 4-тармақшасы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(ұсыныстар дайындау),</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22.  Мүше мемлекеттердің аумақтары бойынша тасымалдарды қадағалау және (немесе) бақылаушы органдардың осындай қадағалау нәтижелерін пайдалану шарттарын айқындау (қажет болған жағдайда)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Келісімнің 3-бабы 2-тармағының 4-тармақшасы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 (ұсыныстар дайындау),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мерзімі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Келісімнің 7-бабының 2-тармағында (қажет болған жағдайда) көрсетілгендерден басқа, нақты тасымалдауды қадағалау кезеңінде навигациялық пломба қамтуға тиіс өзге де электрондық құжаттарды (мәліметтерді)айқындау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7-бабының 3-тармағы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(ұсыныстар дайындау),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Уәкілетті операторлар (органдар)арасындағы ақпараттық өзара іс-қимылды қамтамасыз ететін жаңа жалпы процеспен толықтыру бөлігінде Еуразиялық экономикалық комиссия Алқасының 2015 жылғы 14 сәуірдегі № 29 шешіміне өзгерістер енгізу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12 - бабы 2-тармағының төртінші 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16-тармағында көрсетілген шешім ресми жарияланған күннен бастап 6 ай ішінде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25.  Уәкілетті операторлар (органдар)арасындағы ақпараттық өзара іс-қимылды регламенттейтін жалпы процесті және технологиялық құжаттарды іске асыру қағидаларын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Келісімнің 12 - бабы 2-тармағының төртінші абзацы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осы тізбенің 16-тармағында көрсетілген шешім ресми жарияланған күннен бастап 6 ай ішінде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26. Навигациялық пломбадан алынатын ақпаратты уәкілетті операторлардың (органдардың) ақпараттық жүйелеріне бағыттауды қамтамасыз ету (қажет болған жағдайда)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Келісімнің 9-бабының 2-тармағы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мерзімі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Келісімнің 16-бабының 1-тармағында көрсетілгендерден басқа, ұлттық оператор жүзеге асыратын қызметтерді айқындау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16-бабының 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(ұсыныстар дайындау), Комиссия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28.  Навигациялық пломбаларды пайдалана отырып, тасымалдарды қадағалауды 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Келісімнің 18-бабының 5-тармағы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2024 жылғы қаңтар</w:t>
            </w:r>
          </w:p>
          <w:p>
            <w:pPr>
              <w:spacing w:after="20"/>
              <w:ind w:left="20"/>
              <w:jc w:val="both"/>
            </w:pPr>
            <w:r>
              <w:rPr>
                <w:rFonts w:ascii="Times New Roman"/>
                <w:b w:val="false"/>
                <w:i w:val="false"/>
                <w:color w:val="000000"/>
                <w:sz w:val="20"/>
              </w:rPr>
              <w:t>
(принятие решения)</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Осы тізбеде пайдаланылатын ұғымдар Келісімде айқындалған мәндерде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