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f169" w14:textId="8caf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 толтыру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жылғы16 қазандағы № 160 шешімімен бекітілген Кедендік құн декларациясын толтыру тәртібінің </w:t>
      </w:r>
      <w:r>
        <w:rPr>
          <w:rFonts w:ascii="Times New Roman"/>
          <w:b w:val="false"/>
          <w:i w:val="false"/>
          <w:color w:val="000000"/>
          <w:sz w:val="28"/>
        </w:rPr>
        <w:t>38-тармағы</w:t>
      </w:r>
      <w:r>
        <w:rPr>
          <w:rFonts w:ascii="Times New Roman"/>
          <w:b w:val="false"/>
          <w:i w:val="false"/>
          <w:color w:val="000000"/>
          <w:sz w:val="28"/>
        </w:rPr>
        <w:t xml:space="preserve"> жетінші абзацтан кейін мынадай мазмұндағы абзацпен толықтырылсын:</w:t>
      </w:r>
    </w:p>
    <w:bookmarkEnd w:id="1"/>
    <w:p>
      <w:pPr>
        <w:spacing w:after="0"/>
        <w:ind w:left="0"/>
        <w:jc w:val="both"/>
      </w:pPr>
      <w:r>
        <w:rPr>
          <w:rFonts w:ascii="Times New Roman"/>
          <w:b w:val="false"/>
          <w:i w:val="false"/>
          <w:color w:val="000000"/>
          <w:sz w:val="28"/>
        </w:rPr>
        <w:t>
      "Егер коммерциялық және өзге де құжаттарда шетелдік валютада көрсетілген осы шаманы тиісті төлем осы мүше мемлекеттің валютасындағы тауарларға декларация берілгенге дейін жүзеге асырылуына байланысты кеден органына тауарларға арналған декларация берілетін мүше мемлекеттің валютасына қайта есептеу талап етілмесе, 13 – 23-бағандарда көрсетілуге жататын шамалар құрамынан шаманы қайта есептеу туралы мәліметтер көрсетілмейді.</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