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1fe2" w14:textId="d501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Криль етіне қатысты Еуразиялық экономикалық одақтың Бірыңғай кедендік тарифінің кедендік әкелу бажының ставкасын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шілдедегі № 96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1605 40 000 1 кодымен сыныпталатын нетто-массасы 2 кг артық бастапқы орамдағы жылумен өңдеуге ұшыраған криль етіне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2024 жылғы 30 қыркүйекке дейінгі аралықта кедендік құннан 0 пайыз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1605 40 000 1 кодты позицияда Еуразиялық экономикалық одақтың Бірыңғай кедендік тарифіне ескертпедегі "</w:t>
      </w:r>
      <w:r>
        <w:rPr>
          <w:rFonts w:ascii="Times New Roman"/>
          <w:b w:val="false"/>
          <w:i w:val="false"/>
          <w:color w:val="000000"/>
          <w:vertAlign w:val="superscript"/>
        </w:rPr>
        <w:t>3С)</w:t>
      </w:r>
      <w:r>
        <w:rPr>
          <w:rFonts w:ascii="Times New Roman"/>
          <w:b w:val="false"/>
          <w:i w:val="false"/>
          <w:color w:val="000000"/>
          <w:sz w:val="28"/>
        </w:rPr>
        <w:t>" деген сілтеме "</w:t>
      </w:r>
      <w:r>
        <w:rPr>
          <w:rFonts w:ascii="Times New Roman"/>
          <w:b w:val="false"/>
          <w:i w:val="false"/>
          <w:color w:val="000000"/>
          <w:vertAlign w:val="superscript"/>
        </w:rPr>
        <w:t>79С)</w:t>
      </w:r>
      <w:r>
        <w:rPr>
          <w:rFonts w:ascii="Times New Roman"/>
          <w:b w:val="false"/>
          <w:i w:val="false"/>
          <w:color w:val="000000"/>
          <w:sz w:val="28"/>
        </w:rPr>
        <w:t>" деген сілтемемен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 мынадай мазмұндағы 79С ескертпемен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79С)</w:t>
      </w:r>
      <w:r>
        <w:rPr>
          <w:rFonts w:ascii="Times New Roman"/>
          <w:b w:val="false"/>
          <w:i w:val="false"/>
          <w:color w:val="000000"/>
          <w:sz w:val="28"/>
        </w:rPr>
        <w:t> Кедендік құнның 0 (нөл) % мөлшеріндегі кедендік әкелу бажының ставкасы Еуразиялық экономикалық комиссия Алқасының 2023 жылғы 11 шілдедегі № 96 шешімі күшіне енген күннен бастап 30.09.2024 жылға дейін қолданылады.".</w:t>
      </w:r>
    </w:p>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Еуразиялық экономикалық комиссия Кеңесінің криль етіне қатысты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өзгерістер енгізу туралы шешімі күшіне енген күннен ерте емес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