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565e" w14:textId="a6e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ыстықтай жатықталған болат бұрыштықтарға қатысты демпингке қарсы шараның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2023 жылғы 7 наурыздағы № 26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2017 жылғы 3 қазандағы № 133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мерзімінің аяқталуына байланысты жүргізілген қайта тергеу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Украинада шығарылатын, Еуразиялық экономикалық одақтың кедендік аумағына әкелінетін ЕАЭО СЭҚ ТН 7216 21 000 0, 7216 40 100 0, 7216 50 100 0, 7216 50 990 0, 7228 70 100 0 кодтарымен сыныпталатын көміртекті, төмен қоспаланған және қоспаланған (коррозияға төзімділерін қоспағанда) болаттан жасалған, сөресінің ені 20-дан 200 мм-ге дейінгі ыстықтай жатықталған тең сөрелі болат бұрыштықтарға қатысты 2028 жылғы 6 наурызды қоса алғанда мерзімге кедендік құнның 37,89 пайызы мөлшерінде демпингке қарсы баж енгізу арқылы демпингке қарсы шара қолданылсын. </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2"/>
    <w:p>
      <w:pPr>
        <w:spacing w:after="0"/>
        <w:ind w:left="0"/>
        <w:jc w:val="both"/>
      </w:pPr>
      <w:r>
        <w:rPr>
          <w:rFonts w:ascii="Times New Roman"/>
          <w:b w:val="false"/>
          <w:i w:val="false"/>
          <w:color w:val="000000"/>
          <w:sz w:val="28"/>
        </w:rPr>
        <w:t>
      ЕАЭО СЭҚ ТН кодтарын да, тауардың атауын да басшылыққа ала отырып, осы Шешімде көзделген демпингке қарсы баж алуды өндіріп алуды қамтамасыз етсін;</w:t>
      </w:r>
    </w:p>
    <w:p>
      <w:pPr>
        <w:spacing w:after="0"/>
        <w:ind w:left="0"/>
        <w:jc w:val="both"/>
      </w:pPr>
      <w:r>
        <w:rPr>
          <w:rFonts w:ascii="Times New Roman"/>
          <w:b w:val="false"/>
          <w:i w:val="false"/>
          <w:color w:val="000000"/>
          <w:sz w:val="28"/>
        </w:rPr>
        <w:t>
      алдын ала демпингке қарсы баждарды алу үшін белгіленген тәртіппен Еуразиялық экономикалық комиссия Алқасының 2022 жылғы 23 мамырдағы № 85 Шешіміне сәйкес төленген (өндіріп алынған) демпингке қарсы баж сомаларын демпингке қарсы бажға есепке жатқызуды және ол төленген (өндіріп алынған) Еуразиялық экономикалық одаққа мүше мемлекеттің уәкілетті органының бірыңғай шотына есепке жатқызуды жүзеге асыруды қамтамасыз етсін.</w:t>
      </w:r>
    </w:p>
    <w:bookmarkStart w:name="z4" w:id="3"/>
    <w:p>
      <w:pPr>
        <w:spacing w:after="0"/>
        <w:ind w:left="0"/>
        <w:jc w:val="both"/>
      </w:pPr>
      <w:r>
        <w:rPr>
          <w:rFonts w:ascii="Times New Roman"/>
          <w:b w:val="false"/>
          <w:i w:val="false"/>
          <w:color w:val="000000"/>
          <w:sz w:val="28"/>
        </w:rPr>
        <w:t>
      3. Еуразиялық экономикалық комиссияның монополияға қарсы реттеу департаменті осы Шешімде көзделген демпингке қарсы шараның қолданылу кезеңінде көміртекті, төмен қоспаланған және қоспаланған (коррозияға төзімділерін қоспағанда) болаттан жасалған сөресінің ені 20-дан 200 мм-ге дейінгі ыстықтай жатықталған тең сөрелі бұрыштықтардың тауар нарығындағы бағалар мониторингін жүзеге асырсын және оның нәтижелері туралы әр жартыжылдықтың қорытындысы бойынша Еуразиялық экономикалық комиссияның Алқасын хабардар етсін.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