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8818" w14:textId="5218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№ 1 қосымшағ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мамыр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 мынадай мазмұндағы 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ша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Үшінші елдермен саудада тарифтік емес реттеу шаралары қолданылатын тауарлардың бірыңғай тізбесіне енгізілген тауарлардың экспорты мен импортына лицензиялар және рұқсаттар беру қағидаларын бекіту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, бірақ 2023 жылы 25 мамырда қойылған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хаттама күшіне енген күннен кейін ғана күшіне ен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