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88d2" w14:textId="ad68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Іштен жану қозғалтқыштарының жекелеген түрлеріне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18 ақпандағы № 44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4-тармағына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8408 20 990 4 кодымен сыныпталатын іштен жану қозғалтқыштарының жекелеген түрлеріне қатысты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кедендік әкелу бажының ставкасы осы Шешім күшіне енген күннен бастап қоса алғанда 2022 жылғы 31 желтоқсанға дейінгі аралықта кедендік құннан 0 пайыз мөлшерінде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8408 20 990 4 коды бар позиция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54С)</w:t>
      </w:r>
      <w:r>
        <w:rPr>
          <w:rFonts w:ascii="Times New Roman"/>
          <w:b w:val="false"/>
          <w:i w:val="false"/>
          <w:color w:val="000000"/>
          <w:sz w:val="28"/>
        </w:rPr>
        <w:t xml:space="preserve">" ескертпесіне сілтемемен толықтырылсын;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Бірыңғай кедендік тарифіне ескертпелер мынадай мазмұндағы 54С ескертпесімен толықтырылсын: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54С)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Кеңесінің 2022 жылғы 18 ақпандағы № 44 шешімі күшіне енген күннен бастап қоса алғанда 2022.31.12. дейінгі аралықта қолданылады.".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