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666c7" w14:textId="85666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негізде қолдану нәтижесінде "Ойыншықтардың қауіпсіздігі туралы" Кеден одағы техникалық регламентінің (КО ТР 008/2011) және зерттеу (сынау) және өлшеу қағидалары мен әдістерін, оның ішінде "Ойыншықтардың қауіпсіздігі туралы" Кеден одағы техникалық регламентінің (КО ТР 008/2011) талаптарын қолдану мен орындау үшін және техникалық реттеу объектілерінің осы техникалық регламенттің талаптарына сәйкестігін бағалауды жүзеге асыру үшін қажетті үлгілерді іріктеу қағидаларын қамтитын мемлекетаралық стандарттардың талаптарын сақтау қамтамасыз етілетін мемлекетаралық стандарттарды әзірлеу (өзгерістер енгізу, қайта қарау) жөніндегі бағдарлама туралы</w:t>
      </w:r>
    </w:p>
    <w:p>
      <w:pPr>
        <w:spacing w:after="0"/>
        <w:ind w:left="0"/>
        <w:jc w:val="both"/>
      </w:pPr>
      <w:r>
        <w:rPr>
          <w:rFonts w:ascii="Times New Roman"/>
          <w:b w:val="false"/>
          <w:i w:val="false"/>
          <w:color w:val="000000"/>
          <w:sz w:val="28"/>
        </w:rPr>
        <w:t>Еуразиялық экономикалық комиссия Алқасының 2022 жылғы 18 қазандағы № 145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51-бабы</w:t>
      </w:r>
      <w:r>
        <w:rPr>
          <w:rFonts w:ascii="Times New Roman"/>
          <w:b w:val="false"/>
          <w:i w:val="false"/>
          <w:color w:val="000000"/>
          <w:sz w:val="28"/>
        </w:rPr>
        <w:t xml:space="preserve"> 1-тармағының 11) және 12) тармақшаларына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7-тармағына сәйкес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Ерікті негізде қолдану нәтижесінде "Ойыншықтардың қауіпсіздігі туралы" Кеден одағы техникалық регламентінің (КО ТР 008/2011) және зерттеу (сынау) және өлшеу қағидалары мен әдістерін, оның ішінде "Ойыншықтардың қауіпсіздігі туралы" Кеден одағы техникалық регламентінің (КО ТР 008/2011) талаптарын қолдану мен орындау үшін және техникалық реттеу объектілерінің осы техникалық регламенттің талаптарына сәйкестігін бағалауды жүзеге асыру үшін қажетті үлгілерді іріктеу қағидаларын қамтитын мемлекетаралық стандарттардың талаптарын сақтау қамтамасыз етілетін мемлекетаралық стандарттарды әзірлеу (өзгерістер енгізу, қайта қарау) жөніндегі </w:t>
      </w:r>
      <w:r>
        <w:rPr>
          <w:rFonts w:ascii="Times New Roman"/>
          <w:b w:val="false"/>
          <w:i w:val="false"/>
          <w:color w:val="000000"/>
          <w:sz w:val="28"/>
        </w:rPr>
        <w:t>бағдарлама</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p>
      <w:pPr>
        <w:spacing w:after="0"/>
        <w:ind w:left="0"/>
        <w:jc w:val="both"/>
      </w:pPr>
      <w:r>
        <w:rPr>
          <w:rFonts w:ascii="Times New Roman"/>
          <w:b w:val="false"/>
          <w:i w:val="false"/>
          <w:color w:val="000000"/>
          <w:sz w:val="28"/>
        </w:rPr>
        <w:t>
      Еуразиялық экономикалық комиссия Алқасының "Ерікті негізде қолдану нәтижесінде "Ойыншықтардың қауіпсіздігі туралы" Кеден одағы техникалық регламентінің (КО ТР 008/2011), сондай-ақ зерттеу (сынау) және өлшеу қағидалары мен әдістерін, оның ішінде "Ойыншықтардың қауіпсіздігі туралы" Кеден одағы техникалық регламентінің (КО ТР 008/2011) талаптарын қолдану мен орындау үшін және өнімнің сәйкестігін бағалауды (растауды) жүзеге асыру үшін қажетті үлгілерді іріктеу қағидаларын қамтитын мемлекетаралық стандарттардың талаптарын сақтау қамтамасыз етілетін мемлекетаралық стандарттарды әзірлеу (өзгерістер енгізу, қайта қарау) жөніндегі бағдарлама туралы" 2012 жылғы 12 желтоқсандағы № 275 шешімі;</w:t>
      </w:r>
    </w:p>
    <w:p>
      <w:pPr>
        <w:spacing w:after="0"/>
        <w:ind w:left="0"/>
        <w:jc w:val="both"/>
      </w:pPr>
      <w:r>
        <w:rPr>
          <w:rFonts w:ascii="Times New Roman"/>
          <w:b w:val="false"/>
          <w:i w:val="false"/>
          <w:color w:val="000000"/>
          <w:sz w:val="28"/>
        </w:rPr>
        <w:t xml:space="preserve">
      "Еуразиялық экономикалық комиссия Алқасының 2012 жылғы 12 желтоқсандағы № 275 шешіміне өзгерістер енгізу туралы" Еуразиялық экономикалық комиссия Алқасының 2017 жылғы 28 ақпандағы № 27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"Ерікті негізде қолдану нәтижесінде "Ойыншықтардың қауіпсіздігі туралы" Кеден одағы техникалық регламентінің (КО ТР 008/2011), сондай-ақ зерттеу (сынау) және өлшеу қағидалары мен әдістерін, оның ішінде "Ойыншықтардың қауіпсіздігі туралы" Кеден одағы техникалық регламентінің (КО ТР 008/2011) талаптарын қолдану мен орындау үшін және техникалық реттеу объектілерінің сәйкестігін бағалауды жүзеге асыру үшін қажетті үлгілерді іріктеу қағидаларын қамтитын мемлекетаралық стандарттардың талаптарын сақтау қамтамасыз етілетін мемлекетаралық стандарттарды әзірлеу (өзгерістер енгізу, қайта қарау) жөніндегі бағдарламаға өзгерістер енгізу туралы" 2019 жылғы 3 желтоқсандағы № 211 </w:t>
      </w:r>
      <w:r>
        <w:rPr>
          <w:rFonts w:ascii="Times New Roman"/>
          <w:b w:val="false"/>
          <w:i w:val="false"/>
          <w:color w:val="000000"/>
          <w:sz w:val="28"/>
        </w:rPr>
        <w:t>шешімі</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18 қазандағы </w:t>
            </w:r>
            <w:r>
              <w:br/>
            </w:r>
            <w:r>
              <w:rPr>
                <w:rFonts w:ascii="Times New Roman"/>
                <w:b w:val="false"/>
                <w:i w:val="false"/>
                <w:color w:val="000000"/>
                <w:sz w:val="20"/>
              </w:rPr>
              <w:t>№ 145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Ерікті негізде қолдану нәтижесінде "Ойыншықтардың қауіпсіздігі туралы" Кеден одағы техникалық регламентінің (КО ТР 008/2011) және зерттеу (сынау) және өлшеу қағидалары мен әдістерін, оның ішінде "Ойыншықтардың қауіпсіздігі туралы" Кеден одағы техникалық регламентінің (КО ТР 008/2011) талаптарын қолдану мен орындау үшін және техникалық реттеу объектілерінің осы техникалық регламенттің талаптарына сәйкестігін бағалауды жүзеге асыру үшін қажетті үлгілерді іріктеу қағидаларын қамтитын мемлекетаралық стандарттардың талаптарын сақтау қамтамасыз етілетін мемлекетаралық стандарттарды әзірлеу (өзгерістер енгізу, қайта қарау) жөніндегі БАҒДАРЛАМА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СМС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 жобасының атауы.</w:t>
            </w:r>
          </w:p>
          <w:p>
            <w:pPr>
              <w:spacing w:after="20"/>
              <w:ind w:left="20"/>
              <w:jc w:val="both"/>
            </w:pPr>
            <w:r>
              <w:rPr>
                <w:rFonts w:ascii="Times New Roman"/>
                <w:b w:val="false"/>
                <w:i w:val="false"/>
                <w:color w:val="000000"/>
                <w:sz w:val="20"/>
              </w:rPr>
              <w:t>
Жұмыс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мерзімдері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одаққа мүше мемлекет –жауапты 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өнімдердің қауіпсіздігі. 1-бөлім. Жабдықтың сыныпталуы және талаптары.</w:t>
            </w:r>
          </w:p>
          <w:p>
            <w:pPr>
              <w:spacing w:after="20"/>
              <w:ind w:left="20"/>
              <w:jc w:val="both"/>
            </w:pPr>
            <w:r>
              <w:rPr>
                <w:rFonts w:ascii="Times New Roman"/>
                <w:b w:val="false"/>
                <w:i w:val="false"/>
                <w:color w:val="000000"/>
                <w:sz w:val="20"/>
              </w:rPr>
              <w:t>
IEC 60825-1:2017 негізінде МЕМСТ IEC 60825-1-2013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3.2-тармағы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құрамдағы материалдар. Поликарбонаттан жасалған бұйымдардан бөлінетін хлорбензолдың су мен ауаға таралу деңгейін анықтау әдістері. МВИ.МН 6309-2020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мен стирол сополимерлерінен жасалған бұйымдар. Ауа мен судағы бутадиенді анықтау. KZ.06.01.00197-2020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аспектілері. Стандарттарда және басқа да ерекшеліктерде балалардың қауіпсіздігін қамтамасыз ету жөніндегі басшылыққа алатын нұсқаулықтар. </w:t>
            </w:r>
          </w:p>
          <w:p>
            <w:pPr>
              <w:spacing w:after="20"/>
              <w:ind w:left="20"/>
              <w:jc w:val="both"/>
            </w:pPr>
            <w:r>
              <w:rPr>
                <w:rFonts w:ascii="Times New Roman"/>
                <w:b w:val="false"/>
                <w:i w:val="false"/>
                <w:color w:val="000000"/>
                <w:sz w:val="20"/>
              </w:rPr>
              <w:t>
ISO/IEC Guide 50:2014негізінде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Ойыншықтар. Таңбалау, орау, тасымалдау және сақтау.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5-тармағы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шығармашылығына арналған пластикалық массалар. Техникалық шарттар. СТБ 1087-97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Терминдер мен анықтамалар.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жүйелер жабдықтары. Жеке-дара пайдаланылатын  музыкалық ойнатқыштарға байланысты басты телефондар мен құлаққаптар. Ең жоғары дыбыстық қысым деңгейін өлшеу әдісі. 1-бөлік. Толық жинақты жабдыққа арналған жалпы әдіс. EN 50332-1: 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3.2-тармағының 21-абзацы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бетінде және суда қолданылатын демалуға арналған қалқымалы заттар. </w:t>
            </w:r>
          </w:p>
          <w:p>
            <w:pPr>
              <w:spacing w:after="20"/>
              <w:ind w:left="20"/>
              <w:jc w:val="both"/>
            </w:pPr>
            <w:r>
              <w:rPr>
                <w:rFonts w:ascii="Times New Roman"/>
                <w:b w:val="false"/>
                <w:i w:val="false"/>
                <w:color w:val="000000"/>
                <w:sz w:val="20"/>
              </w:rPr>
              <w:t>
1-бөлік. Сыныптау, материалдар, жалпы талаптар және сынау әдістері.</w:t>
            </w:r>
          </w:p>
          <w:p>
            <w:pPr>
              <w:spacing w:after="20"/>
              <w:ind w:left="20"/>
              <w:jc w:val="both"/>
            </w:pPr>
            <w:r>
              <w:rPr>
                <w:rFonts w:ascii="Times New Roman"/>
                <w:b w:val="false"/>
                <w:i w:val="false"/>
                <w:color w:val="000000"/>
                <w:sz w:val="20"/>
              </w:rPr>
              <w:t>
ISO 25649-1:2017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3.2-тармағының 11-абзацы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бетінде және суда қолданылатын демалуға арналған қалқымалы заттар. </w:t>
            </w:r>
          </w:p>
          <w:p>
            <w:pPr>
              <w:spacing w:after="20"/>
              <w:ind w:left="20"/>
              <w:jc w:val="both"/>
            </w:pPr>
            <w:r>
              <w:rPr>
                <w:rFonts w:ascii="Times New Roman"/>
                <w:b w:val="false"/>
                <w:i w:val="false"/>
                <w:color w:val="000000"/>
                <w:sz w:val="20"/>
              </w:rPr>
              <w:t>
2-бөлік. Тұтынушыларға арналған ақпарат. ISO 25649-2:2017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3.2-тармағының 11-абзацы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бетінде және суда қолданылатын демалуға арналған қалқымалы заттар. </w:t>
            </w:r>
          </w:p>
          <w:p>
            <w:pPr>
              <w:spacing w:after="20"/>
              <w:ind w:left="20"/>
              <w:jc w:val="both"/>
            </w:pPr>
            <w:r>
              <w:rPr>
                <w:rFonts w:ascii="Times New Roman"/>
                <w:b w:val="false"/>
                <w:i w:val="false"/>
                <w:color w:val="000000"/>
                <w:sz w:val="20"/>
              </w:rPr>
              <w:t>
3-бөлік. А сыныбындағы құрылғыларға арналған қосымша арнаулы қауіпсіздік талаптары мен сынау әдістері. ISO 25649-3:2017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3.2-тармағының 11-абзацы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Қауіпсіздік талаптары. 4-бөлік. Химиялық тәжірибелер мен ұқсас сабақтарға арналған жинақтар. EN 71-4-2020 негізінде МЕМСТ EN 71-4: 2014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және әртүрлі құрамдағы материалдардан алынған су сорындысындағы кейбір ұшатын органикалық заттарды газохроматографиялық анықтау. </w:t>
            </w:r>
          </w:p>
          <w:p>
            <w:pPr>
              <w:spacing w:after="20"/>
              <w:ind w:left="20"/>
              <w:jc w:val="both"/>
            </w:pPr>
            <w:r>
              <w:rPr>
                <w:rFonts w:ascii="Times New Roman"/>
                <w:b w:val="false"/>
                <w:i w:val="false"/>
                <w:color w:val="000000"/>
                <w:sz w:val="20"/>
              </w:rPr>
              <w:t xml:space="preserve">
4.1.3166-14 МУК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Ойыншықтардың қауіпсіздігі. 2-бөлік. Тұтанғыштық. МЕМСТ ISO 8124-2-2014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Ойыншықтардың қауіпсіздігі. 9-бөлік. Органикалық химиялық қосылыстар. Талаптар. EN 71-9:2005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Ойыншықтардың қауіпсіздігі. 10-бөлік. Органикалық химиялық қосылыстар. Сынамаларды дайындау және алу. EN 71-10: 2005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Ойыншықтардың қауіпсіздігі. 11-бөлік. Органикалық химиялық қосылыстар. Талдау әдістері. EN 71-11:2005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күтіміне арналған және күтім жасау өнімдері. Балалар әткеншегі. Қауіпсіздік талаптары және сынау әдістері. EN 16232:2013+A1:2018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