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612e1" w14:textId="88612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Тауарға арналған декларация берілгенге дейінгі тауарлар шығару туралы өтініштің құрылымы мен форматына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2022 жылғы 26 сәуірдегі № 71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одақтың Кеден кодексінің 120-бабының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Алқасының 2017 жылғы 19 желтоқсандағы № 177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тауарға арналған декларация берілгенге дейінгі тауарлар шығару туралы өтініштің құрылымы мен форматына өзгерістер енгізілсін.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180 күн өткен соң күшіне енеді.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 Төрағасының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Назаренко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Еуразиялық экономикалық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комиссия Алқасының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Тауарға арналған декларация берілгенге дейінгі тауарлар шығару туралы өтініштің құрылымы мен форматына енгізілетін ӨЗГЕРІСТЕР</w:t>
      </w:r>
    </w:p>
    <w:bookmarkEnd w:id="1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12-тармақтың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сегізінші абзацында "97" цифрлары "95" цифрларымен ауыстырылсын.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10-кестеде</w:t>
      </w:r>
      <w:r>
        <w:rPr>
          <w:rFonts w:ascii="Times New Roman"/>
          <w:b w:val="false"/>
          <w:i w:val="false"/>
          <w:color w:val="000000"/>
          <w:sz w:val="28"/>
        </w:rPr>
        <w:t xml:space="preserve"> 13.12.5-позиция және 13.12.5-позицияның "а" және "б" тармақшалары мынадай редакцияда жазылсын: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"13.12.5 Таза салмағы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(csdo: UnifiedNetMassMeasure)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гр. 18 (6-бағ.) О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Егер "Таза масса (csdo: UnifiedNetMassMeasure)" деректемесі толтырылған болса, онда "Таза масса (csdo:UnifiedNetMass Measure)" деректемесінде тауардың таза массасының килограмдағы мәнін қамтуға тиіс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өлшем бірлігі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(measurementUnitCode төлсипаты)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M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"Таза масса (csdo:UnifiedNetMassMeasure)" деректемесінің "өлшем бірлігі төлсипаты (measurementUnitCode төлсипаты) "166" мәнін қамтуға тиіс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анықтамалықтың (сыныптауыштың) сәйкестендіргіші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(measurementUnitCodeListId төлсипаты)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M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"Таза масса (csdo:UnifiedNetMassMeasure)" деректемесінің "анықтамалықтың (сыныптауыштың)  сәйкестендіргіші  төлсипаты "2016" мәнін қамтуға тиіс".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