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ba44" w14:textId="0bdb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Бағалы металдардың қалдықтары мен сынығына қатысты Еуразиялық экономикалық одақтың Бірыңғай кедендік тарифінің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15 наурыздағы № 42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42 және 45-баптарына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7112 30 000 0, 7112 91 000 0, 711292 0000 және 7112 99 000 0 кодтарымен сыныпталатын бағалы металдардың қалдықтары мен сынығына қатысты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тарифінің  кедендік әкелу бажының ставкасы осы Шешім күшіне енген күннен бастап қоса алғанда 2025 жылғы 31 желтоқсанға дейінгі аралықта кедендік құннан 0 пайыз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тарифіне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7112 30 000 0, 7112 91 000 0, 711292 0000 және 7112 99 000 0 кодтары бар позицияларда Еуразиялық  экономикалық одақтың Бірыңғай кедендік тарифіне ескертпеге "</w:t>
      </w:r>
      <w:r>
        <w:rPr>
          <w:rFonts w:ascii="Times New Roman"/>
          <w:b w:val="false"/>
          <w:i w:val="false"/>
          <w:color w:val="000000"/>
          <w:vertAlign w:val="superscript"/>
        </w:rPr>
        <w:t>5С)</w:t>
      </w:r>
      <w:r>
        <w:rPr>
          <w:rFonts w:ascii="Times New Roman"/>
          <w:b w:val="false"/>
          <w:i w:val="false"/>
          <w:color w:val="000000"/>
          <w:sz w:val="28"/>
        </w:rPr>
        <w:t>" сілтеме "</w:t>
      </w:r>
      <w:r>
        <w:rPr>
          <w:rFonts w:ascii="Times New Roman"/>
          <w:b w:val="false"/>
          <w:i w:val="false"/>
          <w:color w:val="000000"/>
          <w:vertAlign w:val="superscript"/>
        </w:rPr>
        <w:t>55С)</w:t>
      </w:r>
      <w:r>
        <w:rPr>
          <w:rFonts w:ascii="Times New Roman"/>
          <w:b w:val="false"/>
          <w:i w:val="false"/>
          <w:color w:val="000000"/>
          <w:sz w:val="28"/>
        </w:rPr>
        <w:t>" сілтемесімен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ескертпелер мынадай мазмұндағы 55С ескертпесімен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55С)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құннан 0 (нөл) % мөлшеріндегі кедендік әкелу бажының ставкасы Еуразиялық экономикалық комиссия Кеңесінің 2022 жылғы 15 наурыздағы № 42 шешімі күшіне енген күннен бастап қоса алғанда 2025.31.12. дейінгі аралықта қолданылады.".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соң, бірақ ерте дегенде 2023 жылғы 1 қаңтардан  кейін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