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c56e" w14:textId="bfac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Жапырақ тұқымдас қатты ағаштан алынған жартылай ағартылған немесе ағартылған целлюлозаның жекелеген түрлеріне қатысты Еуразиялық экономикалық одақтың Бірыңғай кедендік тарифінің кедендік әкелу бажының ставкасын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2022 жылғы 15 ақпандағы № 25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ЕАЭО СЭҚ ТН 4703 29 000 1 кодымен сыныпталатын жапырақ тұқымдас қатты ағаштан алынған жартылай ағартылған немесе ағартылған целлюлозаның жекелеген түрлеріне қатысты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кедендік әкелу бажының ставкасы 2022 жылғы 1 маусымнан бастап 2023 жылғы 31 желтоқсанға дейінгі аралықта кедендік құннан 0 пайыз мөлшерінде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16С ескертпесі мынадай редакцияда жазылсын:</w:t>
      </w:r>
    </w:p>
    <w:bookmarkEnd w:id="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16С)</w:t>
      </w:r>
      <w:r>
        <w:rPr>
          <w:rFonts w:ascii="Times New Roman"/>
          <w:b w:val="false"/>
          <w:i w:val="false"/>
          <w:color w:val="000000"/>
          <w:sz w:val="28"/>
        </w:rPr>
        <w:t xml:space="preserve"> Кедендік құннан 0 (нөл) % мөлшеріндегі кедендік әкелу бажының ставкасы 2022.01.06. бастап 2023.31.05. дейінгі аралықта қолданылады.".</w:t>
      </w:r>
    </w:p>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жапырақ тұқымдас қатты ағаштан алынған жартылай ағартылған немесе ағартылған целлюлозаның жекелеген түрлеріне қатысты неғұрлым төмен кедендік әкелу баждарының ставкаларын қолданатын тауарлардың және осындай баждар ставкалары мөлшерінің тізбесіне өзгерістер енгізу туралы Еуразиялық экономикалық комиссия Кеңесінің шешімі күшіне енгеннен кейін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