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e59a4" w14:textId="57e59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Кілем өндірісіне арналған латекске қатысты Еуразиялық экономикалық одақтың Бірыңғай кедендік тарифінің кедендік әкелу бажының ставкасын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2022 жылғы 11 қаңтардағы № 7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Еуразиялық экономикалық комиссия туралы ереженің (2014 жылғы 29 мамырдағы Еуразиялық экономикалық одақ туралы шартқа № 1 қосымша) </w:t>
      </w:r>
      <w:r>
        <w:rPr>
          <w:rFonts w:ascii="Times New Roman"/>
          <w:b w:val="false"/>
          <w:i w:val="false"/>
          <w:color w:val="000000"/>
          <w:sz w:val="28"/>
        </w:rPr>
        <w:t>18-тармағына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Кеңесі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ЕАЭО СЭҚ ТН 4002 11 000 1 кодымен сыныпталатын кілем өндірісіне арналған латекске қатысты Еуразиялық экономикалық комиссия Кеңесінің 2021 жылғы 14 қыркүйектегі № 80 шешімімен бекітілген Еуразиялық экономикалық одақтың Бірыңғай кедендік тарифінің кедендік әкелу бажының ставкасы 2022 жылғы 1 қаңтардан бастап қоса алғанда 2024 жылғы 31 желтоқсанға дейінгі аралықта кедендік құннан 0 пайыз мөлшерінде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комиссия Кеңесінің 2021 жылғы 14 қыркүйектегі № 80 шешімімен бекітілген Еуразиялық экономикалық одақтың Бірыңғай кедендік тарифіне мынадай өзгерістер енгізілсін: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ЕАЭО СЭҚ ТН 4002 11 000 1 коды бар позиция төртінші графада "</w:t>
      </w:r>
      <w:r>
        <w:rPr>
          <w:rFonts w:ascii="Times New Roman"/>
          <w:b w:val="false"/>
          <w:i w:val="false"/>
          <w:color w:val="000000"/>
          <w:vertAlign w:val="superscript"/>
        </w:rPr>
        <w:t>51С)</w:t>
      </w:r>
      <w:r>
        <w:rPr>
          <w:rFonts w:ascii="Times New Roman"/>
          <w:b w:val="false"/>
          <w:i w:val="false"/>
          <w:color w:val="000000"/>
          <w:sz w:val="28"/>
        </w:rPr>
        <w:t>" ескертпеге сілтемемен толықтырылсын;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Еуразиялық экономикалық одақтың Бірыңғай кедендік тарифіне ескертпелер мынана мазмүндағы 51С ескертпесімен толықтырылсын;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51С)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Кедендік құннан 0 (нөл) % мөлшеріндегі кедендік әкелу бажының ставкасы 2022.01.01. бастап қоса алғанда 2024.31.12. дейінгі аралықта қолданылады.".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күнтізбелік 30 күн өткен соң, күшіне енеді және 2022 жылғы 1 қаңтардан бастап туындайтын құқықтық қатынастарда қолданылады.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