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5a4b" w14:textId="12d5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Сотына жүгінген кезде шаруашылық жүргізуші субъектілер төлейтін баж мөлшерін бекіту туралы</w:t>
      </w:r>
    </w:p>
    <w:p>
      <w:pPr>
        <w:spacing w:after="0"/>
        <w:ind w:left="0"/>
        <w:jc w:val="both"/>
      </w:pPr>
      <w:r>
        <w:rPr>
          <w:rFonts w:ascii="Times New Roman"/>
          <w:b w:val="false"/>
          <w:i w:val="false"/>
          <w:color w:val="000000"/>
          <w:sz w:val="28"/>
        </w:rPr>
        <w:t>Жоғары Еуразиялық экономикалық Кеңестің 2022 жылғы 9 желтоқсандағы № 25 шешімі.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2014 жылғы 10 қазандағы № 85 шешімінің 2-тармағына сәйкес Жоғары Еуразиялық экономикалық кеңес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Еуразиялық экономикалық одақтың Сотына жүгінген кезде шаруашылық жүргізуші субъектілер төлейтін 2023 жылға арналған баж мөлшері Еуразиялық экономикалық одақтың 2023 жылға арналған бюджетінің жобасын дайындау кезінде болжанатын, 5,5 пайызды құрайтын тұтынушылық бағалардың өсу индексіне сәйкес 52 497 Ресей рублі мөлшерінде белгіленсін.</w:t>
      </w:r>
    </w:p>
    <w:bookmarkEnd w:id="1"/>
    <w:bookmarkStart w:name="z3" w:id="2"/>
    <w:p>
      <w:pPr>
        <w:spacing w:after="0"/>
        <w:ind w:left="0"/>
        <w:jc w:val="both"/>
      </w:pPr>
      <w:r>
        <w:rPr>
          <w:rFonts w:ascii="Times New Roman"/>
          <w:b w:val="false"/>
          <w:i w:val="false"/>
          <w:color w:val="000000"/>
          <w:sz w:val="28"/>
        </w:rPr>
        <w:t>
      3. Осы Шешім 2023 жылғы 1 қаңтардан бастап күшіне енеді.</w:t>
      </w:r>
    </w:p>
    <w:bookmarkEnd w:id="2"/>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