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136d" w14:textId="d871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мүшесін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6 қазандағы № 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және Жоғары Еуразиялық экономикалық кеңестің 2014 жылғы 23 желтоқсандағы № 98 шешімімен бекітілген Еуразиялық экономикалық комиссия жұмысы регламентінің 55-тармағына сәйкес, сондай-ақ Қазақстан Республикасының ұсынуы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Арман Абайұлы Шаққалиевті тағайындау кезінде айқындалған қалған өкілеттік мерзіміне Бақыт Тұрлыханұлы Сұлтанов Қазақстан Республикасынан Еуразиялық экономикалық комиссия Алқасының мүшесі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Еуразиялық экономикалық кеңестің "Еуразиялық экономикалық комиссия Алқасының дербес құрамы және мүшелерінің арасында міндеттердің бөлінуі туралы" 2019 жылғы 20 желтоқсандағы № 29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комиссия Алқасының дербес құрамынан Арман Абайұлы Шакқалиевті шығара отырып, дербес құрамға Еуразиялық экономикалық комиссияның Бәсекелестік және монополияға қарсы реттеу жөніндегі Алқа мүшесі (министр) Бақыт Тұрлыханұлы Сұлтанов енгізілсін.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