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4162" w14:textId="acc4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Жұмыс регламентіне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2022 жылғы 4 қазандағы № 12 шешімі.</w:t>
      </w:r>
    </w:p>
    <w:p>
      <w:pPr>
        <w:spacing w:after="0"/>
        <w:ind w:left="0"/>
        <w:jc w:val="both"/>
      </w:pPr>
      <w:bookmarkStart w:name="z5" w:id="0"/>
      <w:r>
        <w:rPr>
          <w:rFonts w:ascii="Times New Roman"/>
          <w:b w:val="false"/>
          <w:i w:val="false"/>
          <w:color w:val="000000"/>
          <w:sz w:val="28"/>
        </w:rPr>
        <w:t xml:space="preserve">
      Жоғары Еуразиялық экономикалық кеңес </w:t>
      </w:r>
      <w:r>
        <w:rPr>
          <w:rFonts w:ascii="Times New Roman"/>
          <w:b/>
          <w:i w:val="false"/>
          <w:color w:val="000000"/>
          <w:sz w:val="28"/>
        </w:rPr>
        <w:t>шешті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Жоғары Еуразиялық экономикалық кеңестің 2014 жылғы 23 желтоқсандағы № 98 шешімімен бекітілген Еуразиялық экономикалық комиссияның Жұмыс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7" w:id="2"/>
    <w:p>
      <w:pPr>
        <w:spacing w:after="0"/>
        <w:ind w:left="0"/>
        <w:jc w:val="both"/>
      </w:pPr>
      <w:r>
        <w:rPr>
          <w:rFonts w:ascii="Times New Roman"/>
          <w:b w:val="false"/>
          <w:i w:val="false"/>
          <w:color w:val="000000"/>
          <w:sz w:val="28"/>
        </w:rPr>
        <w:t xml:space="preserve">
      2. Осы Шешім 2022 жылғы 19 сәуірде қол қойылған Еуразиялық экономикалық одақта тасымалдауды қадағалау үшін навигациялық пломбаларды қолдану туралы </w:t>
      </w:r>
      <w:r>
        <w:rPr>
          <w:rFonts w:ascii="Times New Roman"/>
          <w:b w:val="false"/>
          <w:i w:val="false"/>
          <w:color w:val="000000"/>
          <w:sz w:val="28"/>
        </w:rPr>
        <w:t>келісім</w:t>
      </w:r>
      <w:r>
        <w:rPr>
          <w:rFonts w:ascii="Times New Roman"/>
          <w:b w:val="false"/>
          <w:i w:val="false"/>
          <w:color w:val="000000"/>
          <w:sz w:val="28"/>
        </w:rPr>
        <w:t xml:space="preserve"> күшіне енген күннен бастап күшіне енеді.</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2022 жылғы 4 қазандағы</w:t>
            </w:r>
            <w:r>
              <w:br/>
            </w:r>
            <w:r>
              <w:rPr>
                <w:rFonts w:ascii="Times New Roman"/>
                <w:b w:val="false"/>
                <w:i w:val="false"/>
                <w:color w:val="000000"/>
                <w:sz w:val="20"/>
              </w:rPr>
              <w:t>№ 12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Еуразиялық экономикалық комиссияның Жұмыс регламентіне енгізілетін ӨЗГЕРІСТЕР</w:t>
      </w:r>
    </w:p>
    <w:bookmarkEnd w:id="3"/>
    <w:bookmarkStart w:name="z13" w:id="4"/>
    <w:p>
      <w:pPr>
        <w:spacing w:after="0"/>
        <w:ind w:left="0"/>
        <w:jc w:val="both"/>
      </w:pPr>
      <w:r>
        <w:rPr>
          <w:rFonts w:ascii="Times New Roman"/>
          <w:b w:val="false"/>
          <w:i w:val="false"/>
          <w:color w:val="000000"/>
          <w:sz w:val="28"/>
        </w:rPr>
        <w:t>
      1.  Көрсетілген регламентке № 1 қосымша мынадай мазмұндағы 159-165-тармақтармен толықтырылсын:</w:t>
      </w:r>
    </w:p>
    <w:bookmarkEnd w:id="4"/>
    <w:bookmarkStart w:name="z14" w:id="5"/>
    <w:p>
      <w:pPr>
        <w:spacing w:after="0"/>
        <w:ind w:left="0"/>
        <w:jc w:val="both"/>
      </w:pPr>
      <w:r>
        <w:rPr>
          <w:rFonts w:ascii="Times New Roman"/>
          <w:b w:val="false"/>
          <w:i w:val="false"/>
          <w:color w:val="000000"/>
          <w:sz w:val="28"/>
        </w:rPr>
        <w:t xml:space="preserve">
      "159. Тауарларды және (немесе) тауарлардың санаттарын, кедендік транзиттің кедендік рәсіміне сәйкес тауарларды тасымалдау навигациялық пломбаларды қолдана отырып қадағалауға жатпайтын жағдайларды және (немесе) шарттарды айқындау. </w:t>
      </w:r>
    </w:p>
    <w:bookmarkEnd w:id="5"/>
    <w:bookmarkStart w:name="z15" w:id="6"/>
    <w:p>
      <w:pPr>
        <w:spacing w:after="0"/>
        <w:ind w:left="0"/>
        <w:jc w:val="both"/>
      </w:pPr>
      <w:r>
        <w:rPr>
          <w:rFonts w:ascii="Times New Roman"/>
          <w:b w:val="false"/>
          <w:i w:val="false"/>
          <w:color w:val="000000"/>
          <w:sz w:val="28"/>
        </w:rPr>
        <w:t xml:space="preserve">
      160. 2022 жылғы 19 сәуірдегі Еуразиялық экономикалық одақта тасымалдауды қадағалау үшін навигациялық пломбаларды қолдану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Навигациялық пломбаларды қолдану туралы келісім) 3-бабы 1-тармағының 4) тармақшасына сәйкес автомобиль және (немесе) теміржол көлігі түрлерімен тасымалданатын қадағалау объектілерін айқындау.</w:t>
      </w:r>
    </w:p>
    <w:bookmarkEnd w:id="6"/>
    <w:bookmarkStart w:name="z16" w:id="7"/>
    <w:p>
      <w:pPr>
        <w:spacing w:after="0"/>
        <w:ind w:left="0"/>
        <w:jc w:val="both"/>
      </w:pPr>
      <w:r>
        <w:rPr>
          <w:rFonts w:ascii="Times New Roman"/>
          <w:b w:val="false"/>
          <w:i w:val="false"/>
          <w:color w:val="000000"/>
          <w:sz w:val="28"/>
        </w:rPr>
        <w:t xml:space="preserve">
      161. Оларды шешу кезінде Навигациялық пломбаларды қолдану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 қолданылуы мүмкін өзге де міндеттерді айқындау. </w:t>
      </w:r>
    </w:p>
    <w:bookmarkEnd w:id="7"/>
    <w:bookmarkStart w:name="z17" w:id="8"/>
    <w:p>
      <w:pPr>
        <w:spacing w:after="0"/>
        <w:ind w:left="0"/>
        <w:jc w:val="both"/>
      </w:pPr>
      <w:r>
        <w:rPr>
          <w:rFonts w:ascii="Times New Roman"/>
          <w:b w:val="false"/>
          <w:i w:val="false"/>
          <w:color w:val="000000"/>
          <w:sz w:val="28"/>
        </w:rPr>
        <w:t xml:space="preserve">
      162. Навигациялық пломбаларды қолдану туралы келісімнің </w:t>
      </w:r>
      <w:r>
        <w:rPr>
          <w:rFonts w:ascii="Times New Roman"/>
          <w:b w:val="false"/>
          <w:i w:val="false"/>
          <w:color w:val="000000"/>
          <w:sz w:val="28"/>
        </w:rPr>
        <w:t>7-бабы</w:t>
      </w:r>
      <w:r>
        <w:rPr>
          <w:rFonts w:ascii="Times New Roman"/>
          <w:b w:val="false"/>
          <w:i w:val="false"/>
          <w:color w:val="000000"/>
          <w:sz w:val="28"/>
        </w:rPr>
        <w:t xml:space="preserve"> 4-тармағының үшінші абзацына сәйкес электрондық құжаттардан және (немесе) өзге де құжаттардан алынған мәліметтердің құрамын айқындау.</w:t>
      </w:r>
    </w:p>
    <w:bookmarkEnd w:id="8"/>
    <w:bookmarkStart w:name="z18" w:id="9"/>
    <w:p>
      <w:pPr>
        <w:spacing w:after="0"/>
        <w:ind w:left="0"/>
        <w:jc w:val="both"/>
      </w:pPr>
      <w:r>
        <w:rPr>
          <w:rFonts w:ascii="Times New Roman"/>
          <w:b w:val="false"/>
          <w:i w:val="false"/>
          <w:color w:val="000000"/>
          <w:sz w:val="28"/>
        </w:rPr>
        <w:t>
      163. Нақты тасымалдауды қадағалау кезеңінде қолдану мақсаттары мен көлік түріне қарай навигациялық пломба қамтуы тиіс өзге де электрондық құжаттарды (мәліметтерді) айқындау.</w:t>
      </w:r>
    </w:p>
    <w:bookmarkEnd w:id="9"/>
    <w:bookmarkStart w:name="z19" w:id="10"/>
    <w:p>
      <w:pPr>
        <w:spacing w:after="0"/>
        <w:ind w:left="0"/>
        <w:jc w:val="both"/>
      </w:pPr>
      <w:r>
        <w:rPr>
          <w:rFonts w:ascii="Times New Roman"/>
          <w:b w:val="false"/>
          <w:i w:val="false"/>
          <w:color w:val="000000"/>
          <w:sz w:val="28"/>
        </w:rPr>
        <w:t>
      164. Навигациялық пломбада қамтылған ақпаратты қорғаудың бірыңғай шараларын айқындау.</w:t>
      </w:r>
    </w:p>
    <w:bookmarkEnd w:id="10"/>
    <w:bookmarkStart w:name="z20" w:id="11"/>
    <w:p>
      <w:pPr>
        <w:spacing w:after="0"/>
        <w:ind w:left="0"/>
        <w:jc w:val="both"/>
      </w:pPr>
      <w:r>
        <w:rPr>
          <w:rFonts w:ascii="Times New Roman"/>
          <w:b w:val="false"/>
          <w:i w:val="false"/>
          <w:color w:val="000000"/>
          <w:sz w:val="28"/>
        </w:rPr>
        <w:t>
      165. Мүше мемлекеттердің аумақтары бойынша тасымалдарды қадағалау үшін қолданылатын навигациялық пломбаларға қойылатын талаптарды айқындау.".</w:t>
      </w:r>
    </w:p>
    <w:bookmarkEnd w:id="11"/>
    <w:bookmarkStart w:name="z21" w:id="12"/>
    <w:p>
      <w:pPr>
        <w:spacing w:after="0"/>
        <w:ind w:left="0"/>
        <w:jc w:val="both"/>
      </w:pPr>
      <w:r>
        <w:rPr>
          <w:rFonts w:ascii="Times New Roman"/>
          <w:b w:val="false"/>
          <w:i w:val="false"/>
          <w:color w:val="000000"/>
          <w:sz w:val="28"/>
        </w:rPr>
        <w:t>
      2. Көрсетілген регламентке № 2 қосымша мынадай мазмұндағы 46-49-тармақтармен толықтырылсын:</w:t>
      </w:r>
    </w:p>
    <w:bookmarkEnd w:id="12"/>
    <w:bookmarkStart w:name="z22" w:id="13"/>
    <w:p>
      <w:pPr>
        <w:spacing w:after="0"/>
        <w:ind w:left="0"/>
        <w:jc w:val="both"/>
      </w:pPr>
      <w:r>
        <w:rPr>
          <w:rFonts w:ascii="Times New Roman"/>
          <w:b w:val="false"/>
          <w:i w:val="false"/>
          <w:color w:val="000000"/>
          <w:sz w:val="28"/>
        </w:rPr>
        <w:t>
      "46. Қадағалау объектісін навигациялық пломбалардың қажетті санымен қамтамасыз етуге жауапты адамдарды айқындау.</w:t>
      </w:r>
    </w:p>
    <w:bookmarkEnd w:id="13"/>
    <w:bookmarkStart w:name="z23" w:id="14"/>
    <w:p>
      <w:pPr>
        <w:spacing w:after="0"/>
        <w:ind w:left="0"/>
        <w:jc w:val="both"/>
      </w:pPr>
      <w:r>
        <w:rPr>
          <w:rFonts w:ascii="Times New Roman"/>
          <w:b w:val="false"/>
          <w:i w:val="false"/>
          <w:color w:val="000000"/>
          <w:sz w:val="28"/>
        </w:rPr>
        <w:t>
      47. Одақтың кедендік аумағында навигациялық пломбаларды салу және алу орындарын, навигациялық пломбаларды салатын (алатын) және осындай салу (алу) кезінде болатын адамдарды, Одақтың кедендік аумағында навигациялық пломбалар салу (алу) жөніндегі операцияларды және құжаттарды (мәліметтерді) беру тәртібін, осындай құжаттарды (мәліметтерді) сақтау тәртібін қоса алғанда, оларды жасау тәртібін, бұрын жазылған ақпаратты жою (өшіру) тәртібін, сондай-ақ бұл мүше мемлекеттердің заңнамасында көздеген жағдайларды айқындау.</w:t>
      </w:r>
    </w:p>
    <w:bookmarkEnd w:id="14"/>
    <w:bookmarkStart w:name="z24" w:id="15"/>
    <w:p>
      <w:pPr>
        <w:spacing w:after="0"/>
        <w:ind w:left="0"/>
        <w:jc w:val="both"/>
      </w:pPr>
      <w:r>
        <w:rPr>
          <w:rFonts w:ascii="Times New Roman"/>
          <w:b w:val="false"/>
          <w:i w:val="false"/>
          <w:color w:val="000000"/>
          <w:sz w:val="28"/>
        </w:rPr>
        <w:t>
      48. Егер мүше мемлекеттердің аумақтары арқылы өтетін тасымалдауды қадағалау үшін аумағында осындай тасымалдауды қадағалау басталатын мүше мемлекеттен өзге мүше мемлекеттің ұлттық операторының ақпараттық жүйесінде тіркелген навигациялық пломба пайдаланылған жағдайда, бақылаушы органдар мен ұлттық операторлардың навигациялық пломбаны іске қосу және белсенділігін жою үшін қажетті іс-қимылдарын және оларды жасау тәртібін айқындау.</w:t>
      </w:r>
    </w:p>
    <w:bookmarkEnd w:id="15"/>
    <w:bookmarkStart w:name="z25" w:id="16"/>
    <w:p>
      <w:pPr>
        <w:spacing w:after="0"/>
        <w:ind w:left="0"/>
        <w:jc w:val="both"/>
      </w:pPr>
      <w:r>
        <w:rPr>
          <w:rFonts w:ascii="Times New Roman"/>
          <w:b w:val="false"/>
          <w:i w:val="false"/>
          <w:color w:val="000000"/>
          <w:sz w:val="28"/>
        </w:rPr>
        <w:t>
      49. Мүше мемлекеттердің аумақтары арқылы жүру (тасымалдау) жолында туындаған штаттан тыс оқиғаларға жататын жағдайларды айқындау.".</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