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5ce7" w14:textId="36c5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14 наурызда қол қойылған,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Хаттаманың күшіне енуі туралы</w:t>
      </w:r>
    </w:p>
    <w:p>
      <w:pPr>
        <w:spacing w:after="0"/>
        <w:ind w:left="0"/>
        <w:jc w:val="both"/>
      </w:pPr>
      <w:r>
        <w:rPr>
          <w:rFonts w:ascii="Times New Roman"/>
          <w:b w:val="false"/>
          <w:i w:val="false"/>
          <w:color w:val="000000"/>
          <w:sz w:val="28"/>
        </w:rPr>
        <w:t>Жоғары Еуразиялық экономикалық Кеңестің 2022 жылғы 27 мамырдағы № 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және 2018 жылғы 14 мамырдағы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2022 жылғы 14 наурызда қол қойылған,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w:t>
      </w:r>
      <w:r>
        <w:rPr>
          <w:rFonts w:ascii="Times New Roman"/>
          <w:b w:val="false"/>
          <w:i w:val="false"/>
          <w:color w:val="000000"/>
          <w:sz w:val="28"/>
        </w:rPr>
        <w:t>Хаттама</w:t>
      </w:r>
      <w:r>
        <w:rPr>
          <w:rFonts w:ascii="Times New Roman"/>
          <w:b w:val="false"/>
          <w:i w:val="false"/>
          <w:color w:val="000000"/>
          <w:sz w:val="28"/>
        </w:rPr>
        <w:t xml:space="preserve"> (бұдан әрі – Хаттама) жасалған күнінен бастап Еуразиялық экономикалық одақ үшін міндетті деп танылсын.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осы Шешімнің 1-тармағы күшіне енген күннен бастап күнтізбелік 10 күннен кешіктірмей Иран Ислам Республикасының атына Хаттаманың </w:t>
      </w:r>
      <w:r>
        <w:rPr>
          <w:rFonts w:ascii="Times New Roman"/>
          <w:b w:val="false"/>
          <w:i w:val="false"/>
          <w:color w:val="000000"/>
          <w:sz w:val="28"/>
        </w:rPr>
        <w:t>2-бабында</w:t>
      </w:r>
      <w:r>
        <w:rPr>
          <w:rFonts w:ascii="Times New Roman"/>
          <w:b w:val="false"/>
          <w:i w:val="false"/>
          <w:color w:val="000000"/>
          <w:sz w:val="28"/>
        </w:rPr>
        <w:t xml:space="preserve"> көзделген хабарламаны жолдасын.</w:t>
      </w:r>
    </w:p>
    <w:bookmarkEnd w:id="2"/>
    <w:bookmarkStart w:name="z4" w:id="3"/>
    <w:p>
      <w:pPr>
        <w:spacing w:after="0"/>
        <w:ind w:left="0"/>
        <w:jc w:val="both"/>
      </w:pPr>
      <w:r>
        <w:rPr>
          <w:rFonts w:ascii="Times New Roman"/>
          <w:b w:val="false"/>
          <w:i w:val="false"/>
          <w:color w:val="000000"/>
          <w:sz w:val="28"/>
        </w:rPr>
        <w:t>
      3. Еуразиялық экономикалық одаққа мүше мемлекеттердің үкіметтері Хаттаманың күшіне енуі үшін қажетті мемлекетішілік рәсімдерді 2022 жылғы қыркүйектен кешіктірмей тездетіп аяқтау бойынша түбегейлі шаралар қабылдасын.</w:t>
      </w:r>
    </w:p>
    <w:bookmarkEnd w:id="3"/>
    <w:bookmarkStart w:name="z5" w:id="4"/>
    <w:p>
      <w:pPr>
        <w:spacing w:after="0"/>
        <w:ind w:left="0"/>
        <w:jc w:val="both"/>
      </w:pPr>
      <w:r>
        <w:rPr>
          <w:rFonts w:ascii="Times New Roman"/>
          <w:b w:val="false"/>
          <w:i w:val="false"/>
          <w:color w:val="000000"/>
          <w:sz w:val="28"/>
        </w:rPr>
        <w:t>
      4. Осы Шешімнің 1-тармағын қоспағанда, осы Шешім ресми жарияланған күнінен бастап күшіне енеді.</w:t>
      </w:r>
    </w:p>
    <w:bookmarkEnd w:id="4"/>
    <w:bookmarkStart w:name="z6" w:id="5"/>
    <w:p>
      <w:pPr>
        <w:spacing w:after="0"/>
        <w:ind w:left="0"/>
        <w:jc w:val="both"/>
      </w:pPr>
      <w:r>
        <w:rPr>
          <w:rFonts w:ascii="Times New Roman"/>
          <w:b w:val="false"/>
          <w:i w:val="false"/>
          <w:color w:val="000000"/>
          <w:sz w:val="28"/>
        </w:rPr>
        <w:t>
      Осы Шешімнің 1-тармағы Еуразиялық экономикалық комиссия Еуразиялық экономикалық одаққа мүше мемлекеттердің Хаттаманың күшіне енуі үшін қажетті мемлекетішілік рәсімдерді аяқтағаны туралы соңғы жазбаша хабарламаны дипломатиялық арналар арқылы алған күнінен бастап күшіне енеді.</w:t>
      </w:r>
    </w:p>
    <w:bookmarkEnd w:id="5"/>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