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2120" w14:textId="b742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арнайы, демпингке қарсы және өтемақы баждарының сомаларын аударудың уақытша тәртібі туралы</w:t>
      </w:r>
    </w:p>
    <w:p>
      <w:pPr>
        <w:spacing w:after="0"/>
        <w:ind w:left="0"/>
        <w:jc w:val="both"/>
      </w:pPr>
      <w:r>
        <w:rPr>
          <w:rFonts w:ascii="Times New Roman"/>
          <w:b w:val="false"/>
          <w:i w:val="false"/>
          <w:color w:val="000000"/>
          <w:sz w:val="28"/>
        </w:rPr>
        <w:t>Жоғары Еуразиялық экономикалық Кеңестің 2022 жылғы 18 мамырдағы № 1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(бұдан әрі – мүше мемлекеттер) үкіметтері және мүше мемлекеттердің ұлттық (орталық) банктері Еуразиялық экономикалық комиссиямен бірлесіп,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кедендік әкелу баждарының (баламалы түрде қолданылатын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хаттамаға (2014 жылғы 29 мамырдағы шартқа </w:t>
      </w:r>
      <w:r>
        <w:rPr>
          <w:rFonts w:ascii="Times New Roman"/>
          <w:b w:val="false"/>
          <w:i w:val="false"/>
          <w:color w:val="000000"/>
          <w:sz w:val="28"/>
        </w:rPr>
        <w:t>№ 5 қосымша</w:t>
      </w:r>
      <w:r>
        <w:rPr>
          <w:rFonts w:ascii="Times New Roman"/>
          <w:b w:val="false"/>
          <w:i w:val="false"/>
          <w:color w:val="000000"/>
          <w:sz w:val="28"/>
        </w:rPr>
        <w:t>) қатысты бөлігінде өзгерістер енгізу туралы хаттаманың жобасын шұғыл түрде дайындасын, онда осы Шешімнің 2-тармағында көрсетілген ережелер және осы ережелердің 2022 жылғы 1 қаңтардан бастап туындаған құқықтық қатынастарға қатысты қолданылуы көзделсін және ол Жоғары Еуразиялық экономикалық кеңестің кезекті отырысында қарау үшін ұсынсын.</w:t>
      </w:r>
    </w:p>
    <w:bookmarkEnd w:id="1"/>
    <w:bookmarkStart w:name="z3" w:id="2"/>
    <w:p>
      <w:pPr>
        <w:spacing w:after="0"/>
        <w:ind w:left="0"/>
        <w:jc w:val="both"/>
      </w:pPr>
      <w:r>
        <w:rPr>
          <w:rFonts w:ascii="Times New Roman"/>
          <w:b w:val="false"/>
          <w:i w:val="false"/>
          <w:color w:val="000000"/>
          <w:sz w:val="28"/>
        </w:rPr>
        <w:t xml:space="preserve">
      2.  Мүше мемлекеттер уақытша, өзара келісім бойынша, осы Шешімнің 1-тармағында көрсетілген,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күшіне енгенге дейін 2022 жылғы 1 қаңтардан бастап туындаған кедендік, арнайы, демпингке қарсы және өтемақы баждары сомаларының есебіне ақша қаражатын Ресей рублімен де (мүше мемлекеттердің ұлттық (орталық) банктері ұлттық валютада ақша қаражатын аудару күнінен кейінгі жұмыс күніне белгілеген ұлттық валюталардың ресми бағамдары бойынша) аудару жөніндегі қарсы міндеттемелерді орындауды жүзеге асыру мүмкіндігін негізге алсын. </w:t>
      </w:r>
    </w:p>
    <w:bookmarkEnd w:id="2"/>
    <w:bookmarkStart w:name="z4" w:id="3"/>
    <w:p>
      <w:pPr>
        <w:spacing w:after="0"/>
        <w:ind w:left="0"/>
        <w:jc w:val="both"/>
      </w:pPr>
      <w:r>
        <w:rPr>
          <w:rFonts w:ascii="Times New Roman"/>
          <w:b w:val="false"/>
          <w:i w:val="false"/>
          <w:color w:val="000000"/>
          <w:sz w:val="28"/>
        </w:rPr>
        <w:t>
      Бұл ретте, 2022 жылғы 1 қаңтардан бастап 30 маусымды қоса алғандағы аралықта мүше мемлекеттердің ұлттық (орталық) банктерінің көрсетілген міндеттемелерді орындамағаны не тиісінше орындамағаны үшін өсімпұлдар есептелмейтіні негізге алынсын.</w:t>
      </w:r>
    </w:p>
    <w:bookmarkEnd w:id="3"/>
    <w:bookmarkStart w:name="z5" w:id="4"/>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