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94f4" w14:textId="a5e9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органикалық ауыл шаруашылығы өнімінің ортақ нарығын қалыптастыру жөніндегі іс-шаралардың ("жол картасы") жоспары туралы</w:t>
      </w:r>
    </w:p>
    <w:p>
      <w:pPr>
        <w:spacing w:after="0"/>
        <w:ind w:left="0"/>
        <w:jc w:val="both"/>
      </w:pPr>
      <w:r>
        <w:rPr>
          <w:rFonts w:ascii="Times New Roman"/>
          <w:b w:val="false"/>
          <w:i w:val="false"/>
          <w:color w:val="000000"/>
          <w:sz w:val="28"/>
        </w:rPr>
        <w:t>Еуразиялық Үкіметаралық Кеңестің 2021 жылғы 20 тамыздағы № 16 Өкімі</w:t>
      </w:r>
    </w:p>
    <w:p>
      <w:pPr>
        <w:spacing w:after="0"/>
        <w:ind w:left="0"/>
        <w:jc w:val="both"/>
      </w:pPr>
      <w:bookmarkStart w:name="z1" w:id="0"/>
      <w:r>
        <w:rPr>
          <w:rFonts w:ascii="Times New Roman"/>
          <w:b w:val="false"/>
          <w:i w:val="false"/>
          <w:color w:val="000000"/>
          <w:sz w:val="28"/>
        </w:rPr>
        <w:t>
      2014 жылғы 29 мамырдағы Еуразиялық экономикалық одақ туралы шарттың 4-бабының үшінші абзацына, 95-бабының 1-тармағының  3 және 4-тармақшаларына сәйкес:</w:t>
      </w:r>
    </w:p>
    <w:bookmarkEnd w:id="0"/>
    <w:bookmarkStart w:name="z2" w:id="1"/>
    <w:p>
      <w:pPr>
        <w:spacing w:after="0"/>
        <w:ind w:left="0"/>
        <w:jc w:val="both"/>
      </w:pPr>
      <w:r>
        <w:rPr>
          <w:rFonts w:ascii="Times New Roman"/>
          <w:b w:val="false"/>
          <w:i w:val="false"/>
          <w:color w:val="000000"/>
          <w:sz w:val="28"/>
        </w:rPr>
        <w:t xml:space="preserve">
      1.Қоса беріліп отырған Еуразиялық  экономикалық одақ шеңберінде органикалық ауыл шаруашылығы өнімінің  ортақ нарығын қалыптастыру жөніндегі   іс-шаралардың ("жол картасы") жоспары  бекітілсін. </w:t>
      </w:r>
    </w:p>
    <w:bookmarkEnd w:id="1"/>
    <w:bookmarkStart w:name="z3" w:id="2"/>
    <w:p>
      <w:pPr>
        <w:spacing w:after="0"/>
        <w:ind w:left="0"/>
        <w:jc w:val="both"/>
      </w:pPr>
      <w:r>
        <w:rPr>
          <w:rFonts w:ascii="Times New Roman"/>
          <w:b w:val="false"/>
          <w:i w:val="false"/>
          <w:color w:val="000000"/>
          <w:sz w:val="28"/>
        </w:rPr>
        <w:t>
      2.Еуразиялық  экономикалық комиссия Еуразиялық экономикалық одаққа  мүше мемлекеттердің үкіметтерімен бірлесіп, осы Өкіммен бекітілген жоспарда көзделген  іс-шараларды іске асыруды қамтамасыз етсін.</w:t>
      </w:r>
    </w:p>
    <w:bookmarkEnd w:id="2"/>
    <w:bookmarkStart w:name="z4" w:id="3"/>
    <w:p>
      <w:pPr>
        <w:spacing w:after="0"/>
        <w:ind w:left="0"/>
        <w:jc w:val="both"/>
      </w:pPr>
      <w:r>
        <w:rPr>
          <w:rFonts w:ascii="Times New Roman"/>
          <w:b w:val="false"/>
          <w:i w:val="false"/>
          <w:color w:val="000000"/>
          <w:sz w:val="28"/>
        </w:rPr>
        <w:t>
      3.Осы Өкім Еуразиялық экономикалық одақтың ресми сайтында жарияланған күнінен бастап күшіне енеді.</w:t>
      </w:r>
    </w:p>
    <w:bookmarkEnd w:id="3"/>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 кеңестің</w:t>
            </w:r>
            <w:r>
              <w:br/>
            </w:r>
            <w:r>
              <w:rPr>
                <w:rFonts w:ascii="Times New Roman"/>
                <w:b w:val="false"/>
                <w:i w:val="false"/>
                <w:color w:val="000000"/>
                <w:sz w:val="20"/>
              </w:rPr>
              <w:t>2021 жылғы 20 тамыздағы № 16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 шеңберінде органикалық ауыл шаруашылығы өнімінің  ортақ нарығын қалыптастыру жөніндегі   іс-шаралардың ("жол картасы")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  (бұдан әрі – Одақ) шеңберінде органикалық ауыл шаруашылығы өнімінің  еркін (кедергісіз) өткізілуін қамтамасыз етуге бағытталған  халықаралық шарт әзірлеу, соның ішінде:</w:t>
            </w:r>
          </w:p>
          <w:p>
            <w:pPr>
              <w:spacing w:after="20"/>
              <w:ind w:left="20"/>
              <w:jc w:val="both"/>
            </w:pPr>
            <w:r>
              <w:rPr>
                <w:rFonts w:ascii="Times New Roman"/>
                <w:b w:val="false"/>
                <w:i w:val="false"/>
                <w:color w:val="000000"/>
                <w:sz w:val="20"/>
              </w:rPr>
              <w:t>
салыстырмалы, соның ішінде "Органикалық өнімдерді  өндіру, өңдеу, таңбалау және сату үшін нұсқама" CAC/GL 32-1999 Алиментариус кодексінің  талаптарына сәйкестікке талдау жүргізу негізінде органикалық ауыл шаруашылығы өнімі өндірісіне қойылатын мүше мемлекеттердің заңнамасының талаптарын үндестіру немесе біріздендіру жөнінде ұсыныстар дайындау</w:t>
            </w:r>
          </w:p>
          <w:p>
            <w:pPr>
              <w:spacing w:after="20"/>
              <w:ind w:left="20"/>
              <w:jc w:val="both"/>
            </w:pPr>
            <w:r>
              <w:rPr>
                <w:rFonts w:ascii="Times New Roman"/>
                <w:b w:val="false"/>
                <w:i w:val="false"/>
                <w:color w:val="000000"/>
                <w:sz w:val="20"/>
              </w:rPr>
              <w:t>
органикалық ауыл шаруашылығы өнімін таңбалауға және орындылығын  жан-жақты бағалау қорытындысы бойынша ілеспе құжаттарға қойылатын мүше мемлекеттердің заңнамасының талаптарын үндестіру немесе біріздендіру жөнінде ұсыныстар дайындау</w:t>
            </w:r>
          </w:p>
          <w:p>
            <w:pPr>
              <w:spacing w:after="20"/>
              <w:ind w:left="20"/>
              <w:jc w:val="both"/>
            </w:pPr>
            <w:r>
              <w:rPr>
                <w:rFonts w:ascii="Times New Roman"/>
                <w:b w:val="false"/>
                <w:i w:val="false"/>
                <w:color w:val="000000"/>
                <w:sz w:val="20"/>
              </w:rPr>
              <w:t>
мүше мемлекеттердің уәкілетті органдары (ұйымдары) берген органикалық ауыл шаруашылығы өнімі өндірісінің және органикалық ауыл шаруашылығы өнімінің  сәйкестігін бағалау  туралы құжаттарды (соның ішінде   органикалық өнім өндірісіне қойылатын талаптарды сақтауды бақылаудың қағидалары мен рәсімдерін)  өзара тануды қамтамасыз ету үшін мүше мемлекеттердің заңнамасының талаптарын үндестіру немесе біріздендіру жөнінде ұсыныстар дайындау</w:t>
            </w:r>
          </w:p>
          <w:p>
            <w:pPr>
              <w:spacing w:after="20"/>
              <w:ind w:left="20"/>
              <w:jc w:val="both"/>
            </w:pPr>
            <w:r>
              <w:rPr>
                <w:rFonts w:ascii="Times New Roman"/>
                <w:b w:val="false"/>
                <w:i w:val="false"/>
                <w:color w:val="000000"/>
                <w:sz w:val="20"/>
              </w:rPr>
              <w:t>
мүше мемлекеттерде органикалық ауыл шаруашылығы өнімі өндірісінің және органикалық ауыл шаруашылығы өнімін өндірушілердің сәйкестігін растауды жүзеге асыратын аккредиттелген органдардың бірыңғай тізілімін қалыптастыру  жөнінде ұсыныстар дайындау</w:t>
            </w:r>
          </w:p>
          <w:p>
            <w:pPr>
              <w:spacing w:after="20"/>
              <w:ind w:left="20"/>
              <w:jc w:val="both"/>
            </w:pPr>
            <w:r>
              <w:rPr>
                <w:rFonts w:ascii="Times New Roman"/>
                <w:b w:val="false"/>
                <w:i w:val="false"/>
                <w:color w:val="000000"/>
                <w:sz w:val="20"/>
              </w:rPr>
              <w:t>
үшінші елдерде шығарылған органикалық ауыл шаруашылығы өнімінің Одақтың ішкі нарығына қол жеткізуін реттеу жөнінде ұсыныстар дайындау</w:t>
            </w:r>
          </w:p>
          <w:p>
            <w:pPr>
              <w:spacing w:after="20"/>
              <w:ind w:left="20"/>
              <w:jc w:val="both"/>
            </w:pPr>
            <w:r>
              <w:rPr>
                <w:rFonts w:ascii="Times New Roman"/>
                <w:b w:val="false"/>
                <w:i w:val="false"/>
                <w:color w:val="000000"/>
                <w:sz w:val="20"/>
              </w:rPr>
              <w:t>
мүше мемлекеттерде органикалық ауыл шаруашылығы өнімі өндірісінің және айналысының  ресми статистикалық ақпаратын қалыптастыру  жөнінде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жобасы</w:t>
            </w:r>
          </w:p>
          <w:p>
            <w:pPr>
              <w:spacing w:after="20"/>
              <w:ind w:left="20"/>
              <w:jc w:val="both"/>
            </w:pPr>
            <w:r>
              <w:rPr>
                <w:rFonts w:ascii="Times New Roman"/>
                <w:b w:val="false"/>
                <w:i w:val="false"/>
                <w:color w:val="000000"/>
                <w:sz w:val="20"/>
              </w:rPr>
              <w:t>
Агроөнеркәсіптік кешен жөніндегі консультативтік комитет отырысының хаттамасы</w:t>
            </w:r>
          </w:p>
          <w:p>
            <w:pPr>
              <w:spacing w:after="20"/>
              <w:ind w:left="20"/>
              <w:jc w:val="both"/>
            </w:pPr>
            <w:r>
              <w:rPr>
                <w:rFonts w:ascii="Times New Roman"/>
                <w:b w:val="false"/>
                <w:i w:val="false"/>
                <w:color w:val="000000"/>
                <w:sz w:val="20"/>
              </w:rPr>
              <w:t>
Агроөнеркәсіптік кешен жөніндегі консультативтік комитет отырысының хаттамасы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Агроөнеркәсіптік кешен жөніндегі консультативтік комитет отырысының хаттамасы</w:t>
            </w:r>
          </w:p>
          <w:p>
            <w:pPr>
              <w:spacing w:after="20"/>
              <w:ind w:left="20"/>
              <w:jc w:val="both"/>
            </w:pPr>
            <w:r>
              <w:rPr>
                <w:rFonts w:ascii="Times New Roman"/>
                <w:b w:val="false"/>
                <w:i w:val="false"/>
                <w:color w:val="000000"/>
                <w:sz w:val="20"/>
              </w:rPr>
              <w:t>
Агроөнеркәсіптік кешен жөніндегі консультативтік комитет отырысының хаттамасы</w:t>
            </w:r>
          </w:p>
          <w:p>
            <w:pPr>
              <w:spacing w:after="20"/>
              <w:ind w:left="20"/>
              <w:jc w:val="both"/>
            </w:pPr>
            <w:r>
              <w:rPr>
                <w:rFonts w:ascii="Times New Roman"/>
                <w:b w:val="false"/>
                <w:i w:val="false"/>
                <w:color w:val="000000"/>
                <w:sz w:val="20"/>
              </w:rPr>
              <w:t>
Агроөнеркәсіптік кешен жөніндегі консультативтік комитет отырысының хаттамасы</w:t>
            </w:r>
          </w:p>
          <w:p>
            <w:pPr>
              <w:spacing w:after="20"/>
              <w:ind w:left="20"/>
              <w:jc w:val="both"/>
            </w:pPr>
            <w:r>
              <w:rPr>
                <w:rFonts w:ascii="Times New Roman"/>
                <w:b w:val="false"/>
                <w:i w:val="false"/>
                <w:color w:val="000000"/>
                <w:sz w:val="20"/>
              </w:rPr>
              <w:t>
Агроөнеркәсіптік кешен жөніндегі консультативтік комитет отырысының хаттамасы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w:t>
            </w:r>
          </w:p>
          <w:p>
            <w:pPr>
              <w:spacing w:after="20"/>
              <w:ind w:left="20"/>
              <w:jc w:val="both"/>
            </w:pPr>
            <w:r>
              <w:rPr>
                <w:rFonts w:ascii="Times New Roman"/>
                <w:b w:val="false"/>
                <w:i w:val="false"/>
                <w:color w:val="000000"/>
                <w:sz w:val="20"/>
              </w:rPr>
              <w:t>
2021 жыл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2021 жыл</w:t>
            </w:r>
          </w:p>
          <w:p>
            <w:pPr>
              <w:spacing w:after="20"/>
              <w:ind w:left="20"/>
              <w:jc w:val="both"/>
            </w:pPr>
            <w:r>
              <w:rPr>
                <w:rFonts w:ascii="Times New Roman"/>
                <w:b w:val="false"/>
                <w:i w:val="false"/>
                <w:color w:val="000000"/>
                <w:sz w:val="20"/>
              </w:rPr>
              <w:t>
2022 жылдың бірінші жарты жылдығы</w:t>
            </w:r>
          </w:p>
          <w:p>
            <w:pPr>
              <w:spacing w:after="20"/>
              <w:ind w:left="20"/>
              <w:jc w:val="both"/>
            </w:pPr>
            <w:r>
              <w:rPr>
                <w:rFonts w:ascii="Times New Roman"/>
                <w:b w:val="false"/>
                <w:i w:val="false"/>
                <w:color w:val="000000"/>
                <w:sz w:val="20"/>
              </w:rPr>
              <w:t>
2022 жылдың бірінші жарты жылдығы</w:t>
            </w:r>
          </w:p>
          <w:p>
            <w:pPr>
              <w:spacing w:after="20"/>
              <w:ind w:left="20"/>
              <w:jc w:val="both"/>
            </w:pPr>
            <w:r>
              <w:rPr>
                <w:rFonts w:ascii="Times New Roman"/>
                <w:b w:val="false"/>
                <w:i w:val="false"/>
                <w:color w:val="000000"/>
                <w:sz w:val="20"/>
              </w:rPr>
              <w:t>
2022 жылдың бірінші жарты жылдығы</w:t>
            </w:r>
          </w:p>
          <w:p>
            <w:pPr>
              <w:spacing w:after="20"/>
              <w:ind w:left="20"/>
              <w:jc w:val="both"/>
            </w:pPr>
            <w:r>
              <w:rPr>
                <w:rFonts w:ascii="Times New Roman"/>
                <w:b w:val="false"/>
                <w:i w:val="false"/>
                <w:color w:val="000000"/>
                <w:sz w:val="20"/>
              </w:rPr>
              <w:t>
2022 жылдың бірінші жарты жылдығы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 Еуразиялық экономикалық одаққа  мүше мемлекеттердің (бұдан әрі – мүше мемлекеттер)  уәкілетті органдары</w:t>
            </w:r>
          </w:p>
          <w:p>
            <w:pPr>
              <w:spacing w:after="20"/>
              <w:ind w:left="20"/>
              <w:jc w:val="both"/>
            </w:pPr>
            <w:r>
              <w:rPr>
                <w:rFonts w:ascii="Times New Roman"/>
                <w:b w:val="false"/>
                <w:i w:val="false"/>
                <w:color w:val="000000"/>
                <w:sz w:val="20"/>
              </w:rPr>
              <w:t>
Комиссия, мүше мемлекеттердің  уәкілетті органдары</w:t>
            </w:r>
          </w:p>
          <w:p>
            <w:pPr>
              <w:spacing w:after="20"/>
              <w:ind w:left="20"/>
              <w:jc w:val="both"/>
            </w:pPr>
            <w:r>
              <w:rPr>
                <w:rFonts w:ascii="Times New Roman"/>
                <w:b w:val="false"/>
                <w:i w:val="false"/>
                <w:color w:val="000000"/>
                <w:sz w:val="20"/>
              </w:rPr>
              <w:t>
Комиссия, мүше мемлекеттердің  уәкілетті органдары</w:t>
            </w:r>
          </w:p>
          <w:p>
            <w:pPr>
              <w:spacing w:after="20"/>
              <w:ind w:left="20"/>
              <w:jc w:val="both"/>
            </w:pPr>
            <w:r>
              <w:rPr>
                <w:rFonts w:ascii="Times New Roman"/>
                <w:b w:val="false"/>
                <w:i w:val="false"/>
                <w:color w:val="000000"/>
                <w:sz w:val="20"/>
              </w:rPr>
              <w:t>
Комиссия, мүше мемлекеттердің  уәкілетті органдары</w:t>
            </w:r>
          </w:p>
          <w:p>
            <w:pPr>
              <w:spacing w:after="20"/>
              <w:ind w:left="20"/>
              <w:jc w:val="both"/>
            </w:pPr>
            <w:r>
              <w:rPr>
                <w:rFonts w:ascii="Times New Roman"/>
                <w:b w:val="false"/>
                <w:i w:val="false"/>
                <w:color w:val="000000"/>
                <w:sz w:val="20"/>
              </w:rPr>
              <w:t>
Комиссия, мүше мемлекеттердің  уәкілетті органдары</w:t>
            </w:r>
          </w:p>
          <w:p>
            <w:pPr>
              <w:spacing w:after="20"/>
              <w:ind w:left="20"/>
              <w:jc w:val="both"/>
            </w:pPr>
            <w:r>
              <w:rPr>
                <w:rFonts w:ascii="Times New Roman"/>
                <w:b w:val="false"/>
                <w:i w:val="false"/>
                <w:color w:val="000000"/>
                <w:sz w:val="20"/>
              </w:rPr>
              <w:t>
Комиссия, мүше мемлекеттердің  уәкілетті органдары</w:t>
            </w:r>
          </w:p>
          <w:p>
            <w:pPr>
              <w:spacing w:after="20"/>
              <w:ind w:left="20"/>
              <w:jc w:val="both"/>
            </w:pPr>
            <w:r>
              <w:rPr>
                <w:rFonts w:ascii="Times New Roman"/>
                <w:b w:val="false"/>
                <w:i w:val="false"/>
                <w:color w:val="000000"/>
                <w:sz w:val="20"/>
              </w:rPr>
              <w:t>
Комиссия, мүше мемлекеттердің  уәкілетті органдары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Комиссияның Халықаралық органикалық ауыл шаруашылығы үшін қозғалысы федерациясымен (IFOAM) және Органикалық ауыл шаруашылығы  ғылыми-зерттеу институтымен (FIBL)  ынтымақтастық туралы  меморандумдарының жобасын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мемлекеттердің  уәкілетті органдары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Мүше мемлекеттерде  өндірілген органикалық ауыл шаруашылығы өнімінің  үшінші елдердің нарықтарына қол жеткізуі мәселелері бойынша ұсынымдар тұжырымдау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органдарының актілері (қажет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мемлекеттердің  уәкілетті органдары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