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09ec" w14:textId="0070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Қайырмасы бұрылатын және бұрылмайтын, қуаты 250 ат күшіне дейінгі, Қытай Халық Республикасынан шығарылатын және Еуразиялық экономикалық одақтың кедендік аумағына әкелінетін шынжыр табанды бульдозерлерге қатысты демпингке қарсы шараның қолданылуын ұзарту және Еуразиялық экономикалық комиссия Алқасының 2020 жылғы 3 қарашадағы № 142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2021 жылғы 29 маусымдағы № 68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 Алқасының 2015 жылғы 10 қарашадағы № 148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мерзімінің аяқталуына байланысты жүргізілген қайтадан тергеп-тексеру нәтижелері бойынша дайындалған Еуразиялық экономикалық комиссияның Ішкі нарықты қорғау департаменті баяндамасының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қайырмасы бұрылатын және бұрылмайтын, қуаты 250 ат күшіне дейінгі, Қытай Халық Республикасынан шығарылатын шынжыр табанды бульдозерлерге қатысты Еуразиялық экономикалық комиссия Алқасының 2015 жылғы 10 қарашадағы № 148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 қоса алғанда 2026 жылғы 28 маусым аралығына ұзартылсын.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 мемлекеттік органдары:</w:t>
      </w:r>
    </w:p>
    <w:bookmarkEnd w:id="2"/>
    <w:bookmarkStart w:name="z4" w:id="3"/>
    <w:p>
      <w:pPr>
        <w:spacing w:after="0"/>
        <w:ind w:left="0"/>
        <w:jc w:val="both"/>
      </w:pPr>
      <w:r>
        <w:rPr>
          <w:rFonts w:ascii="Times New Roman"/>
          <w:b w:val="false"/>
          <w:i w:val="false"/>
          <w:color w:val="000000"/>
          <w:sz w:val="28"/>
        </w:rPr>
        <w:t xml:space="preserve">
      Еуразиялық экономикалық комиссия Алқасының 2015 жылғы 10 қарашадағы № 148 </w:t>
      </w:r>
      <w:r>
        <w:rPr>
          <w:rFonts w:ascii="Times New Roman"/>
          <w:b w:val="false"/>
          <w:i w:val="false"/>
          <w:color w:val="000000"/>
          <w:sz w:val="28"/>
        </w:rPr>
        <w:t>шешімінде</w:t>
      </w:r>
      <w:r>
        <w:rPr>
          <w:rFonts w:ascii="Times New Roman"/>
          <w:b w:val="false"/>
          <w:i w:val="false"/>
          <w:color w:val="000000"/>
          <w:sz w:val="28"/>
        </w:rPr>
        <w:t xml:space="preserve"> көзделген мөлшерлерде демпингке қарсы бажды өндіріп алуды қамтамасыз етсін;</w:t>
      </w:r>
    </w:p>
    <w:bookmarkEnd w:id="3"/>
    <w:bookmarkStart w:name="z5" w:id="4"/>
    <w:p>
      <w:pPr>
        <w:spacing w:after="0"/>
        <w:ind w:left="0"/>
        <w:jc w:val="both"/>
      </w:pPr>
      <w:r>
        <w:rPr>
          <w:rFonts w:ascii="Times New Roman"/>
          <w:b w:val="false"/>
          <w:i w:val="false"/>
          <w:color w:val="000000"/>
          <w:sz w:val="28"/>
        </w:rPr>
        <w:t xml:space="preserve">
      Еуразиялық экономикалық комиссия Алқасының 2020 жылғы 3 қарашадағы № 142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сомасын алдын ала демпингке қарсы баждарды өндіріп алу үшін белгіленген тәртіппен демпингке қарсы бажға есепке жатқызудың және ол төленген (өндіріп алынған) Еуразиялық экономикалық одаққа мүше мемлекеттің уәкілетті органының бірыңғай шотына есепке алынуын қамтамасыз етсін.</w:t>
      </w:r>
    </w:p>
    <w:bookmarkEnd w:id="4"/>
    <w:bookmarkStart w:name="z6" w:id="5"/>
    <w:p>
      <w:pPr>
        <w:spacing w:after="0"/>
        <w:ind w:left="0"/>
        <w:jc w:val="both"/>
      </w:pPr>
      <w:r>
        <w:rPr>
          <w:rFonts w:ascii="Times New Roman"/>
          <w:b w:val="false"/>
          <w:i w:val="false"/>
          <w:color w:val="000000"/>
          <w:sz w:val="28"/>
        </w:rPr>
        <w:t xml:space="preserve">
      3. Еуразиялық экономикалық комиссия Алқасының "Қайырмасы бұрылатын және бұрылмайтын, қуаты 250 ат күшіне дейінгі, Қытай Халық Республикасынан шығарылатын және Еуразиялық экономикалық одақтың кедендік аумағына әкелінетін шынжыр табанды бульдозерлерге қатысты демпингке қарсы шараның қолданылуын ұзарту туралы" 2020 жылғы 3 қарашадағы № 142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міндетін </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