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6dac" w14:textId="6006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Мобильді робот техникалық кешенді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2021 жылғы 30 наурыздағы № 37 шешімі</w:t>
      </w:r>
    </w:p>
    <w:p>
      <w:pPr>
        <w:spacing w:after="0"/>
        <w:ind w:left="0"/>
        <w:jc w:val="both"/>
      </w:pPr>
      <w:bookmarkStart w:name="z2" w:id="0"/>
      <w:r>
        <w:rPr>
          <w:rFonts w:ascii="Times New Roman"/>
          <w:b w:val="false"/>
          <w:i w:val="false"/>
          <w:color w:val="000000"/>
          <w:sz w:val="28"/>
        </w:rPr>
        <w:t xml:space="preserve">
      Еуразиялық экономикалық одақтың Кеден кодексі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1. Ғимараттарды, құрылыс конструкцияларын және басқа да құрылыстарды демонтаждау жөніндегі әртүрлі жұмыстардың ауысымдық жабдығын пайдалана отырып орындауға арналған корпус, қозғалтқыш, айналмалы платформа, манипулятор және жылжымалы тіректер сияқты негізгі бөліктерден тұратын, өздігінен жүретін машина болып табылатын, қашықтықтан басқарылатын мобильді робот техникалық кешен Сыртқы экономикалық қызметтің тауар номенклатурасына Түсіндірмелердің 1-негізгі қағидасына және Еуразиялық экономикалық одақтың сыртқы экономикалық қызметінің Бірыңғай тауар номенклатурасының 84-тобына 7-ескертпеге сәйкес Еуразиялық экономикалық одақтың сыртқы экономикалық қызметінің Бірыңғай тауар номенклатурасының 8479 тауар позициясында сыныпталады.</w:t>
      </w:r>
    </w:p>
    <w:bookmarkEnd w:id="1"/>
    <w:bookmarkStart w:name="z4"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