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a9c0" w14:textId="bf1a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бағалы металл немесе бағалы металдардың қосылыстары бар минерал текті шикізаттың жекелеген түрлеріне қатысты Еуразиялық экономикалық одақтың Бірыңғай кедендік тарифінің кедендік әкелу бажының ставкаларын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2021 жылғы 1 наурыздағы № 20 шешімі</w:t>
      </w:r>
    </w:p>
    <w:p>
      <w:pPr>
        <w:spacing w:after="0"/>
        <w:ind w:left="0"/>
        <w:jc w:val="both"/>
      </w:pPr>
      <w:bookmarkStart w:name="z2"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және Еуразиялық үкіметаралық кеңестің 2020 жылғы 10 сәуірдегі № 6 өкімінің </w:t>
      </w:r>
      <w:r>
        <w:rPr>
          <w:rFonts w:ascii="Times New Roman"/>
          <w:b w:val="false"/>
          <w:i w:val="false"/>
          <w:color w:val="000000"/>
          <w:sz w:val="28"/>
        </w:rPr>
        <w:t>1.8-тармақшасына</w:t>
      </w:r>
      <w:r>
        <w:rPr>
          <w:rFonts w:ascii="Times New Roman"/>
          <w:b w:val="false"/>
          <w:i w:val="false"/>
          <w:color w:val="000000"/>
          <w:sz w:val="28"/>
        </w:rPr>
        <w:t xml:space="preserve"> орындау мақсатында Еуразиялық экономикалық комиссия Алқасы </w:t>
      </w:r>
      <w:r>
        <w:rPr>
          <w:rFonts w:ascii="Times New Roman"/>
          <w:b/>
          <w:i w:val="false"/>
          <w:color w:val="000000"/>
          <w:sz w:val="28"/>
        </w:rPr>
        <w:t>шешті:</w:t>
      </w:r>
    </w:p>
    <w:bookmarkEnd w:id="0"/>
    <w:bookmarkStart w:name="z3" w:id="1"/>
    <w:p>
      <w:pPr>
        <w:spacing w:after="0"/>
        <w:ind w:left="0"/>
        <w:jc w:val="both"/>
      </w:pPr>
      <w:r>
        <w:rPr>
          <w:rFonts w:ascii="Times New Roman"/>
          <w:b w:val="false"/>
          <w:i w:val="false"/>
          <w:color w:val="000000"/>
          <w:sz w:val="28"/>
        </w:rPr>
        <w:t>
      1. ЕАЭО СЭҚ ТН 2616 10 000 0, 2616 90 000 0, 7106 10 000 0, 7106 91 000 9, 7108 11 000 0, 7108 12 000 9, 7110 11 000 9, 7110 21 000 9, 7110 31 000 0, 7110 39 000 0, 7110 41 000 0 және 7110 49 000 0 кодтарымен сыныпталатын құрамында бағалы метал немесе бағалы металдардың қосылыстары бар минералдан алынатын шикізаттың жекелеген түрлеріне қатысты Еуразиялық экономикалық одақтың Бірыңғай кедендік тарифінің (Еуразиялық экономикалық комиссия Кеңесінің 2012 жылғы 16 шілдедегі № 54 шешіміне қосымша) кедендік әкелу бажының ставкалары осы Шешім күшіне енген күннен бастап қоса алғанда 2024 жылғы 31 наурызға дейінгі аралықта кедендік құнның 0 пайызы мөлшерінде белгіленсін.</w:t>
      </w:r>
    </w:p>
    <w:bookmarkEnd w:id="1"/>
    <w:bookmarkStart w:name="z4" w:id="2"/>
    <w:p>
      <w:pPr>
        <w:spacing w:after="0"/>
        <w:ind w:left="0"/>
        <w:jc w:val="both"/>
      </w:pPr>
      <w:r>
        <w:rPr>
          <w:rFonts w:ascii="Times New Roman"/>
          <w:b w:val="false"/>
          <w:i w:val="false"/>
          <w:color w:val="000000"/>
          <w:sz w:val="28"/>
        </w:rPr>
        <w:t>
      2. Еуразиялық экономикалық одақтың Бірыңғай кедендік тарифінің (Еуразиялық экономикалық комиссия Кеңесінің 2012 жылғы 16 шілдедегі № 54 шешіміне қосымша) мынадай өзгерістер енгізілсін:</w:t>
      </w:r>
    </w:p>
    <w:bookmarkEnd w:id="2"/>
    <w:bookmarkStart w:name="z5" w:id="3"/>
    <w:p>
      <w:pPr>
        <w:spacing w:after="0"/>
        <w:ind w:left="0"/>
        <w:jc w:val="both"/>
      </w:pPr>
      <w:r>
        <w:rPr>
          <w:rFonts w:ascii="Times New Roman"/>
          <w:b w:val="false"/>
          <w:i w:val="false"/>
          <w:color w:val="000000"/>
          <w:sz w:val="28"/>
        </w:rPr>
        <w:t>
      а) ЕАЭО СЭҚ ТН 2616 10 000 0, 2616 90 000 0, 7106 10 000 0, 7106 91 000 9, 7108 11 000 0, 7108 12 000 9, 7110 11 000 9, 7110 21 000 9, 7110 31 000 0 және 7110 41 000 0 кодтары бар позицияларда Еуразиялық экономикалық одақтың Бірыңғай кедендік тарифіне ескертпеге "</w:t>
      </w:r>
      <w:r>
        <w:rPr>
          <w:rFonts w:ascii="Times New Roman"/>
          <w:b w:val="false"/>
          <w:i w:val="false"/>
          <w:color w:val="000000"/>
          <w:vertAlign w:val="superscript"/>
        </w:rPr>
        <w:t>6С)</w:t>
      </w:r>
      <w:r>
        <w:rPr>
          <w:rFonts w:ascii="Times New Roman"/>
          <w:b w:val="false"/>
          <w:i w:val="false"/>
          <w:color w:val="000000"/>
          <w:sz w:val="28"/>
        </w:rPr>
        <w:t>" сілтеме "</w:t>
      </w:r>
      <w:r>
        <w:rPr>
          <w:rFonts w:ascii="Times New Roman"/>
          <w:b w:val="false"/>
          <w:i w:val="false"/>
          <w:color w:val="000000"/>
          <w:vertAlign w:val="superscript"/>
        </w:rPr>
        <w:t>89С)</w:t>
      </w:r>
      <w:r>
        <w:rPr>
          <w:rFonts w:ascii="Times New Roman"/>
          <w:b w:val="false"/>
          <w:i w:val="false"/>
          <w:color w:val="000000"/>
          <w:sz w:val="28"/>
        </w:rPr>
        <w:t xml:space="preserve">" сілтемесімен ауыстырылсын; </w:t>
      </w:r>
    </w:p>
    <w:bookmarkEnd w:id="3"/>
    <w:bookmarkStart w:name="z6" w:id="4"/>
    <w:p>
      <w:pPr>
        <w:spacing w:after="0"/>
        <w:ind w:left="0"/>
        <w:jc w:val="both"/>
      </w:pPr>
      <w:r>
        <w:rPr>
          <w:rFonts w:ascii="Times New Roman"/>
          <w:b w:val="false"/>
          <w:i w:val="false"/>
          <w:color w:val="000000"/>
          <w:sz w:val="28"/>
        </w:rPr>
        <w:t>
      б) төртінші графада ЕАЭО СЭҚ ТН 7110 39 000 0 және 7110 49 000 0  кодтары бар позициялар ескертпеге "</w:t>
      </w:r>
      <w:r>
        <w:rPr>
          <w:rFonts w:ascii="Times New Roman"/>
          <w:b w:val="false"/>
          <w:i w:val="false"/>
          <w:color w:val="000000"/>
          <w:vertAlign w:val="superscript"/>
        </w:rPr>
        <w:t>89С)</w:t>
      </w:r>
      <w:r>
        <w:rPr>
          <w:rFonts w:ascii="Times New Roman"/>
          <w:b w:val="false"/>
          <w:i w:val="false"/>
          <w:color w:val="000000"/>
          <w:sz w:val="28"/>
        </w:rPr>
        <w:t>" сілтемемен толықтырылсын;</w:t>
      </w:r>
    </w:p>
    <w:bookmarkEnd w:id="4"/>
    <w:bookmarkStart w:name="z7" w:id="5"/>
    <w:p>
      <w:pPr>
        <w:spacing w:after="0"/>
        <w:ind w:left="0"/>
        <w:jc w:val="both"/>
      </w:pPr>
      <w:r>
        <w:rPr>
          <w:rFonts w:ascii="Times New Roman"/>
          <w:b w:val="false"/>
          <w:i w:val="false"/>
          <w:color w:val="000000"/>
          <w:sz w:val="28"/>
        </w:rPr>
        <w:t>
      в) Еуразиялық экономикалық одақтың Бірыңғай кедендік тарифіне ескертпелер  мынадай мазмұндағы 89С ескертпесімен толытырылсын:</w:t>
      </w:r>
    </w:p>
    <w:bookmarkEnd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89С)</w:t>
      </w:r>
      <w:r>
        <w:rPr>
          <w:rFonts w:ascii="Times New Roman"/>
          <w:b w:val="false"/>
          <w:i w:val="false"/>
          <w:color w:val="000000"/>
          <w:sz w:val="28"/>
        </w:rPr>
        <w:t> кедендік құнның 0 (нөл) пайызы мөлшеріндегі кедендік әкелу бажының  ставкасы Еуразиялық экономикалық комиссия Алқасының 2021 жылғы 1 наурыздағы № 20 шешімі күшіне енген күннен бастап  қоса алғанда 31.03.2024 дейінгі аралықта қолданылады.".</w:t>
      </w:r>
    </w:p>
    <w:bookmarkStart w:name="z8" w:id="6"/>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Еуразиялық экономикалық комиссия Кеңесінің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 тізбесіне өзгерістер енгізу және құрамында бағалы металл немесе бағалы металдардың қосылыстары бар минерал текті шикізаттың жекелеген түрлеріне қатысты осындай баж ставкаларының мөлшерлері туралы шешімі күшіне енген күннен кейін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