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dcf5" w14:textId="a9ed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Балық өсіретін кішілеу кемелердің жекелеген түрлеріне қатысты Еуразиялық экономикалық одақтың Бірыңғай кедендік тарифінің кедендік әкелу бажының ставкасын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2021 жылғы 16 ақпандағы № 16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ЕАЭО СЭҚ ТН 8907 90 000 1 кодымен сыныпталатын балық өсіретін кішілеу кемелердің жекелеген түрлеріне қатысты Еуразиялық экономикалық одақтың Бірыңғай кедендік тарифінің (Еуразиялық экономикалық комиссия Кеңесінің 2012 жылғы 16 шілдедегі № 54 шешіміне қосымша) кедендік әкелу бажының  ставкасы осы Шешім күшіне енген күннен бастап қоса алғанда 2022 жылғы 31 наурызға дейінгі аралықта кедендік құнның 0 пайызы мөлшерінде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одақтың Бірыңғай кедендік тарифіне (Еуразиялық экономикалық комиссия Кеңесінің 2012 жылғы 16 шілдедегі № 54 шешіміне қосымша)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8905 90 100 1 коды бар позицияда Еуразиялық  экономикалық одақтың Бірыңғай кедендік тарифіне ескертпедегі "</w:t>
      </w:r>
      <w:r>
        <w:rPr>
          <w:rFonts w:ascii="Times New Roman"/>
          <w:b w:val="false"/>
          <w:i w:val="false"/>
          <w:color w:val="000000"/>
          <w:vertAlign w:val="superscript"/>
        </w:rPr>
        <w:t>24С)</w:t>
      </w:r>
      <w:r>
        <w:rPr>
          <w:rFonts w:ascii="Times New Roman"/>
          <w:b w:val="false"/>
          <w:i w:val="false"/>
          <w:color w:val="000000"/>
          <w:sz w:val="28"/>
        </w:rPr>
        <w:t>" сілтеме  алып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Еуразиялық экономикалық одақтың Бірыңғай кедендік тарифіне 24С ескертпе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24С)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құнның 0 (нөл) пайызы мөлшеріндегі кедендік әкелу бажының  ставкасы Еуразиялық экономикалық комиссия Алқасының 2021 жылғы 16 ақпандағы № 16 шешімі күшіне енген күннен бастап қоса алғанда 31.03.2022 дейінгі аралықта қолданылады.".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 Осы Шешім ресми жарияланған күнінен бастап күнтізбелік 30 күн өткен соң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