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abc2b" w14:textId="0dabc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комиссия Алқасының кейбір шешімдеріне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2021 жылғы 16 ақпандағы № 14 шешімі</w:t>
      </w:r>
    </w:p>
    <w:p>
      <w:pPr>
        <w:spacing w:after="0"/>
        <w:ind w:left="0"/>
        <w:jc w:val="both"/>
      </w:pPr>
      <w:bookmarkStart w:name="z1" w:id="0"/>
      <w:r>
        <w:rPr>
          <w:rFonts w:ascii="Times New Roman"/>
          <w:b w:val="false"/>
          <w:i w:val="false"/>
          <w:color w:val="000000"/>
          <w:sz w:val="28"/>
        </w:rPr>
        <w:t xml:space="preserve">
      2014 жылғы 15 тамыздағы Көлік құралдары электрондық паспорттарының (көлік құралдары шассилері электрондық паспорттарының) және өздігінен жүретін машиналар мен техниканың басқа түрлері электрондық паспорттарының бірыңғай нысандарын енгізу және электрондық паспорттар жүйелерін ұйымдастыру туралы келісімнің 3-бабының бірінші абзацына және Еуразиялық экономикалық одақ шеңберіндегі ақпараттық-коммуникациялық технологиялар және ақпараттық өзара іс-қимыл туралы хаттаманың (2014 жылғы 29 мамырдағы Еуразиялық экономикалық одақ туралы шартқа № 3 қосымша) 9-тармағына сәйкес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Еуразиялық экономикалық комиссия Алқасының 2015 жылғы 22 қыркүйектегі № 122 шешімімен бекітілген Көлік құралдарының электрондық паспорттары (көлік құралдары шассилерінің электрондық паспорттары) және өздігінен жүретін машиналар мен техниканың басқа түрлерінің электрондық паспорттары жүйелерінің жұмыс істеу тәртібіне </w:t>
      </w:r>
      <w:r>
        <w:rPr>
          <w:rFonts w:ascii="Times New Roman"/>
          <w:b w:val="false"/>
          <w:i w:val="false"/>
          <w:color w:val="000000"/>
          <w:sz w:val="28"/>
        </w:rPr>
        <w:t>№ 6 қосымшаның</w:t>
      </w:r>
      <w:r>
        <w:rPr>
          <w:rFonts w:ascii="Times New Roman"/>
          <w:b w:val="false"/>
          <w:i w:val="false"/>
          <w:color w:val="000000"/>
          <w:sz w:val="28"/>
        </w:rPr>
        <w:t xml:space="preserve"> 19-тармағы мынадай мазмұндағы абзацтармен толықтырылсын:</w:t>
      </w:r>
    </w:p>
    <w:bookmarkEnd w:id="1"/>
    <w:bookmarkStart w:name="z3" w:id="2"/>
    <w:p>
      <w:pPr>
        <w:spacing w:after="0"/>
        <w:ind w:left="0"/>
        <w:jc w:val="both"/>
      </w:pPr>
      <w:r>
        <w:rPr>
          <w:rFonts w:ascii="Times New Roman"/>
          <w:b w:val="false"/>
          <w:i w:val="false"/>
          <w:color w:val="000000"/>
          <w:sz w:val="28"/>
        </w:rPr>
        <w:t>
      "Ұлттық оператор мен әкімші арасындағы трансшекаралық алмасу Еуразиялық экономикалық комиссия Алқасы бекітетін көлік құралдарының электрондық паспорттары (көлік құралдары шассилерінің электрондық паспорттары) және өздігінен жүретін машиналар мен техниканың басқа түрлерінің электрондық паспорттары жүйелерінің ұлттық операторлары мен көлік құралдарының электрондық паспорттары (көлік құралдары шассилерінің электрондық паспорттары) және өздігінен жүретін машиналар мен техниканың басқа түрлерінің электрондық паспорттары жүйелерінің әкімшісі арасындағы ақпараттық өзара іс-қимыл тәртібіне, алмасатын мәліметтердің құрамына, мәліметтерді беру шарттары мен мерзімдеріне қойылатын талаптарға сәйкес жалпы процесті іске асыру шеңберінде Еуразиялық экономикалық одақтың интеграцияланған ақпараттық жүйесін пайдалану арқылы жүзеге асырылады.</w:t>
      </w:r>
    </w:p>
    <w:bookmarkEnd w:id="2"/>
    <w:bookmarkStart w:name="z4" w:id="3"/>
    <w:p>
      <w:pPr>
        <w:spacing w:after="0"/>
        <w:ind w:left="0"/>
        <w:jc w:val="both"/>
      </w:pPr>
      <w:r>
        <w:rPr>
          <w:rFonts w:ascii="Times New Roman"/>
          <w:b w:val="false"/>
          <w:i w:val="false"/>
          <w:color w:val="000000"/>
          <w:sz w:val="28"/>
        </w:rPr>
        <w:t>
      Көрсетілген трансшекаралық алмасу басталғанға дейін ұлттық операторлар мен әкімшінің ақпараттық өзара іс-қимылы Еуразиялық экономикалық одақтың интеграцияланған ақпараттық жүйесінің интеграциялық және ұлттық сегменттері арасында, сондай-ақ Еуразиялық экономикалық одақтың интеграцияланған ақпараттық жүйесінің ұлттық сегменттері арасында деректер беру арналарында ақпарат қауіпсіздігіне төнетін қауіптердің және бұзушы іс-қимылының модельдеріне сәйкес ақпарат қауіпсіздігіне төнетін өзекті қауіптердің алдын алуды қамтамасыз ететін техникалық құралдардың негізінде қорғалған байланыс арнасын құру жолымен жүзеге асырылады.</w:t>
      </w:r>
    </w:p>
    <w:bookmarkEnd w:id="3"/>
    <w:bookmarkStart w:name="z5" w:id="4"/>
    <w:p>
      <w:pPr>
        <w:spacing w:after="0"/>
        <w:ind w:left="0"/>
        <w:jc w:val="both"/>
      </w:pPr>
      <w:r>
        <w:rPr>
          <w:rFonts w:ascii="Times New Roman"/>
          <w:b w:val="false"/>
          <w:i w:val="false"/>
          <w:color w:val="000000"/>
          <w:sz w:val="28"/>
        </w:rPr>
        <w:t>
      Еуразиялық экономикалық одақтың интеграцияланған ақпараттық жүйесі қолжетімсіз болған немесе 3 минут ішінде мәлімет алмасу мүмкін болмаған жағдайда, ақпарат осы тармақтың үшінші абзацында көрсетілген қорғалған байланыс арнасы арқылы беріледі.".</w:t>
      </w:r>
    </w:p>
    <w:bookmarkEnd w:id="4"/>
    <w:bookmarkStart w:name="z6" w:id="5"/>
    <w:p>
      <w:pPr>
        <w:spacing w:after="0"/>
        <w:ind w:left="0"/>
        <w:jc w:val="both"/>
      </w:pPr>
      <w:r>
        <w:rPr>
          <w:rFonts w:ascii="Times New Roman"/>
          <w:b w:val="false"/>
          <w:i w:val="false"/>
          <w:color w:val="000000"/>
          <w:sz w:val="28"/>
        </w:rPr>
        <w:t xml:space="preserve">
      2.  Еуразиялық экономикалық комиссия Алқасының 2015 жылғы 14 сәуірдегі № 29 шешімімен бекітілген Еуразиялық экономикалық одақ шеңберіндегі жалпы процестер </w:t>
      </w:r>
      <w:r>
        <w:rPr>
          <w:rFonts w:ascii="Times New Roman"/>
          <w:b w:val="false"/>
          <w:i w:val="false"/>
          <w:color w:val="000000"/>
          <w:sz w:val="28"/>
        </w:rPr>
        <w:t>тізбесінің</w:t>
      </w:r>
      <w:r>
        <w:rPr>
          <w:rFonts w:ascii="Times New Roman"/>
          <w:b w:val="false"/>
          <w:i w:val="false"/>
          <w:color w:val="000000"/>
          <w:sz w:val="28"/>
        </w:rPr>
        <w:t xml:space="preserve"> VII бөлімі мынадай мазмұндағы 391-тармақпен толықтырылсын:</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r>
              <w:rPr>
                <w:rFonts w:ascii="Times New Roman"/>
                <w:b w:val="false"/>
                <w:i w:val="false"/>
                <w:color w:val="000000"/>
                <w:vertAlign w:val="superscript"/>
              </w:rPr>
              <w:t>1</w:t>
            </w:r>
            <w:r>
              <w:rPr>
                <w:rFonts w:ascii="Times New Roman"/>
                <w:b w:val="false"/>
                <w:i w:val="false"/>
                <w:color w:val="000000"/>
                <w:sz w:val="20"/>
              </w:rPr>
              <w:t>. Көлік құралдарының электрондық паспорттары (көлік құралдары шассилерінің электрондық паспорттары) және өздігінен жүретін машиналар мен техниканың басқа түрлерінің электрондық паспорттары жүйелерінің ұлттық операторлары мен көлік құралдарының электрондық паспорттары (көлік құралдары шассилерінің электрондық паспорттары) және өздігінен жүретін машиналар мен техниканың басқа түрлерінің электрондық паспорттары жүйелерінің әкімшісі арасында ақпарат алмасуды қамтамасыз 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IV тоқсан".</w:t>
            </w:r>
          </w:p>
        </w:tc>
      </w:tr>
    </w:tbl>
    <w:bookmarkStart w:name="z7" w:id="6"/>
    <w:p>
      <w:pPr>
        <w:spacing w:after="0"/>
        <w:ind w:left="0"/>
        <w:jc w:val="both"/>
      </w:pPr>
      <w:r>
        <w:rPr>
          <w:rFonts w:ascii="Times New Roman"/>
          <w:b w:val="false"/>
          <w:i w:val="false"/>
          <w:color w:val="000000"/>
          <w:sz w:val="28"/>
        </w:rPr>
        <w:t>
      3. Осы Шешімнің Еуразиялық экономикалық комиссия Алқасының көлік құралдарының электрондық паспорттары (көлік құралдары шассилерінің электрондық паспорттары) және өздігінен жүретін машиналар мен техниканың басқа түрлерінің электрондық паспорттары жүйелерінің ұлттық операторлары мен көлік құралдарының электрондық паспорттары (көлік құралдары шассилерінің электрондық паспорттары) және өздігінен жүретін машиналар мен техниканың басқа түрлерінің электрондық паспорттары жүйелерінің әкімшісі арасындағы ақпараттық өзара іс-қимыл тәртібіне, алмасатын мәліметтердің құрамына, мәліметтерді беру шарттары мен мерзімдеріне қойылатын талаптарды айқындайтын шешімі күшіне енген күннен бастап күнтізбелік 30 күн өткен соң күшіне енетін 2-тармағын қоспағанда, осы Шешім ресми жарияланған күнінен бастап күнтізбелік 30 күн өткен соң күшіне енеді.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Еуразиялық экономикалық </w:t>
            </w:r>
          </w:p>
          <w:p>
            <w:pPr>
              <w:spacing w:after="20"/>
              <w:ind w:left="20"/>
              <w:jc w:val="both"/>
            </w:pPr>
          </w:p>
          <w:p>
            <w:pPr>
              <w:spacing w:after="20"/>
              <w:ind w:left="20"/>
              <w:jc w:val="both"/>
            </w:pPr>
            <w:r>
              <w:rPr>
                <w:rFonts w:ascii="Times New Roman"/>
                <w:b w:val="false"/>
                <w:i/>
                <w:color w:val="000000"/>
                <w:sz w:val="20"/>
              </w:rPr>
              <w:t xml:space="preserve">комиссия Алқасының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