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bb0a" w14:textId="07eb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Республикасында шығарылатын және Еуразиялық экономикалық одақтың кедендік аумағына әкелінетін дәнекерленген құбырларға және коррозияға төзімді (тот баспайтын) болаттан жасалған түтікшелер мен қуыс пішімдерге қатысты демпингке қарсы баж енгізу арқылы демпингке қарсы шара қолдану туралы</w:t>
      </w:r>
    </w:p>
    <w:p>
      <w:pPr>
        <w:spacing w:after="0"/>
        <w:ind w:left="0"/>
        <w:jc w:val="both"/>
      </w:pPr>
      <w:r>
        <w:rPr>
          <w:rFonts w:ascii="Times New Roman"/>
          <w:b w:val="false"/>
          <w:i w:val="false"/>
          <w:color w:val="000000"/>
          <w:sz w:val="28"/>
        </w:rPr>
        <w:t>Еуразиялық экономикалық комиссия Алқасының 2021 жылғы 9 ақпандағы № 12 шешімі</w:t>
      </w:r>
    </w:p>
    <w:p>
      <w:pPr>
        <w:spacing w:after="0"/>
        <w:ind w:left="0"/>
        <w:jc w:val="both"/>
      </w:pPr>
      <w:bookmarkStart w:name="z1" w:id="0"/>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107-тармағына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Қытай Халық Республикасында шығарылатын және Еуразиялық экономикалық одақтың кедендік аумағына әкелінетін, ЕАЭО СЭҚ ТН 7306 40 200 9, 7306 40 800 1, 7306 40 800 8 және 7306 61 100 9 кодтарымен сыныпталатын, қабырға қалыңдығы 0,4-тен қоса алғанда 6 мм-ге дейінгі, дөңгелек көлденең қимасы немесе көлденең қимасы периметрі 400 мм-ден аспайтын шаршы көлденең қимасы бар және қима жағының ең үлкен мөлшері қоса алғанда 120 мм-ге дейінгі тік бұрышты көлденең қимасы бар дәнекерленген құбырларға және коррозияға төзімді (тот баспайтын) болаттан жасалған түтікшелер мен қуыс пішімдерге қатысты қосымшаға сай мөлшерде демпингке қарсы баж енгізу арқылы демпингке қарсы шара қолданылсын.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уәкілеттік берілген мемлекеттік органдары ЕАЭО СЭҚ ТН кодтарын, сол сияқты тауар атауларын басшылыққа ала отырып, демпингке қарсы баж алуды қамтамасыз етсін.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2021 жылғы 9 ақпандағы </w:t>
            </w:r>
            <w:r>
              <w:br/>
            </w:r>
            <w:r>
              <w:rPr>
                <w:rFonts w:ascii="Times New Roman"/>
                <w:b w:val="false"/>
                <w:i w:val="false"/>
                <w:color w:val="000000"/>
                <w:sz w:val="20"/>
              </w:rPr>
              <w:t>№ 12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Демпингке қарсы баж</w:t>
      </w:r>
      <w:r>
        <w:br/>
      </w:r>
      <w:r>
        <w:rPr>
          <w:rFonts w:ascii="Times New Roman"/>
          <w:b/>
          <w:i w:val="false"/>
          <w:color w:val="000000"/>
        </w:rPr>
        <w:t>СТАВКАЛАРЫНЫҢ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Демпингке қарсы баж  ставкаларының мөлшері</w:t>
            </w:r>
            <w:r>
              <w:rPr>
                <w:rFonts w:ascii="Times New Roman"/>
                <w:b/>
                <w:i w:val="false"/>
                <w:color w:val="000000"/>
                <w:sz w:val="20"/>
              </w:rPr>
              <w:t xml:space="preserve"> (кедендік құннан пайызбен)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2021 жылғы 9 ақпандағы № 12 шешімінің 1-тармағында көрсетілген дәнекерленген құбырлар және коррозияға төзімді (тот баспайтын)  болаттан жасалған түтікшелер мен қуыс пішімдер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Foshan Vinmay Stainless Steel Co., Ltd. (No. 6 Jingang Avenue, Baini Town, Sanshui District, Foshan City, Guangdong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Guangdong Sumwin New Material Group Co., Ltd. (South Sanhe Rd., East Renhe Rd, Yanhe Town, Gaoming District, Foshan,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