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6189" w14:textId="f696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үкіметаралық кеңестің кейбір шешімдеріне өзгерістер енгізу туралы</w:t>
      </w:r>
    </w:p>
    <w:p>
      <w:pPr>
        <w:spacing w:after="0"/>
        <w:ind w:left="0"/>
        <w:jc w:val="both"/>
      </w:pPr>
      <w:r>
        <w:rPr>
          <w:rFonts w:ascii="Times New Roman"/>
          <w:b w:val="false"/>
          <w:i w:val="false"/>
          <w:color w:val="000000"/>
          <w:sz w:val="28"/>
        </w:rPr>
        <w:t>Еуразиялық үкіметаралық кеңестің 2020 жылғы 31 қаңтардағы № 1 шешімі.</w:t>
      </w:r>
    </w:p>
    <w:p>
      <w:pPr>
        <w:spacing w:after="0"/>
        <w:ind w:left="0"/>
        <w:jc w:val="both"/>
      </w:pPr>
      <w:r>
        <w:rPr>
          <w:rFonts w:ascii="Times New Roman"/>
          <w:b w:val="false"/>
          <w:i w:val="false"/>
          <w:color w:val="000000"/>
          <w:sz w:val="28"/>
        </w:rPr>
        <w:t xml:space="preserve">
      Жоғары Еуразиялық экономикалық кеңестің 2017 жылғы 11 қазандағы № 12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цифрлық күн тәртібін іске асырудың негізгі бағыттарын іске асыру мақсатында, Еуразиялық үкіметаралық кеңестің 2019 жылғы 1 ақпандағы № 1 шешімімен бекітілген Еуразиялық экономикалық одақтың цифрлық күн тәртібі шеңберіндегі жобаларды іске асыру механизмдеріне сәйкес Еуразиялық үкіметаралық кеңес </w:t>
      </w:r>
      <w:r>
        <w:rPr>
          <w:rFonts w:ascii="Times New Roman"/>
          <w:b/>
          <w:i w:val="false"/>
          <w:color w:val="000000"/>
          <w:sz w:val="28"/>
        </w:rPr>
        <w:t>шешті</w:t>
      </w:r>
      <w:r>
        <w:rPr>
          <w:rFonts w:ascii="Times New Roman"/>
          <w:b/>
          <w:i w:val="false"/>
          <w:color w:val="000000"/>
          <w:sz w:val="28"/>
        </w:rPr>
        <w:t>:</w:t>
      </w:r>
    </w:p>
    <w:p>
      <w:pPr>
        <w:spacing w:after="0"/>
        <w:ind w:left="0"/>
        <w:jc w:val="both"/>
      </w:pPr>
      <w:r>
        <w:rPr>
          <w:rFonts w:ascii="Times New Roman"/>
          <w:b w:val="false"/>
          <w:i w:val="false"/>
          <w:color w:val="000000"/>
          <w:sz w:val="28"/>
        </w:rPr>
        <w:t>
      Қосымшаға сәйкес Еуразиялық үкіметаралық кеңес шешімдеріне өзгерістер енгізілсін.</w:t>
      </w:r>
    </w:p>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w:t>
            </w:r>
            <w:r>
              <w:rPr>
                <w:rFonts w:ascii="Times New Roman"/>
                <w:b w:val="false"/>
                <w:i/>
                <w:color w:val="000000"/>
                <w:sz w:val="20"/>
              </w:rPr>
              <w:t>асынан</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ырғыз</w:t>
            </w:r>
          </w:p>
          <w:p>
            <w:pPr>
              <w:spacing w:after="20"/>
              <w:ind w:left="20"/>
              <w:jc w:val="both"/>
            </w:pPr>
            <w:r>
              <w:rPr>
                <w:rFonts w:ascii="Times New Roman"/>
                <w:b w:val="false"/>
                <w:i/>
                <w:color w:val="000000"/>
                <w:sz w:val="20"/>
              </w:rPr>
              <w:t>Республик</w:t>
            </w:r>
            <w:r>
              <w:rPr>
                <w:rFonts w:ascii="Times New Roman"/>
                <w:b w:val="false"/>
                <w:i/>
                <w:color w:val="000000"/>
                <w:sz w:val="20"/>
              </w:rPr>
              <w:t>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 xml:space="preserve">кеңестің </w:t>
            </w:r>
            <w:r>
              <w:br/>
            </w:r>
            <w:r>
              <w:rPr>
                <w:rFonts w:ascii="Times New Roman"/>
                <w:b w:val="false"/>
                <w:i w:val="false"/>
                <w:color w:val="000000"/>
                <w:sz w:val="20"/>
              </w:rPr>
              <w:t>2020 жылғы 31 қаңтардағы</w:t>
            </w:r>
            <w:r>
              <w:br/>
            </w:r>
            <w:r>
              <w:rPr>
                <w:rFonts w:ascii="Times New Roman"/>
                <w:b w:val="false"/>
                <w:i w:val="false"/>
                <w:color w:val="000000"/>
                <w:sz w:val="20"/>
              </w:rPr>
              <w:t xml:space="preserve">№ 1 шешіміне </w:t>
            </w:r>
            <w:r>
              <w:br/>
            </w:r>
            <w:r>
              <w:rPr>
                <w:rFonts w:ascii="Times New Roman"/>
                <w:b w:val="false"/>
                <w:i w:val="false"/>
                <w:color w:val="000000"/>
                <w:sz w:val="20"/>
              </w:rPr>
              <w:t>ҚОСЫМША </w:t>
            </w:r>
          </w:p>
        </w:tc>
      </w:tr>
    </w:tbl>
    <w:bookmarkStart w:name="z2" w:id="0"/>
    <w:p>
      <w:pPr>
        <w:spacing w:after="0"/>
        <w:ind w:left="0"/>
        <w:jc w:val="left"/>
      </w:pPr>
      <w:r>
        <w:rPr>
          <w:rFonts w:ascii="Times New Roman"/>
          <w:b/>
          <w:i w:val="false"/>
          <w:color w:val="000000"/>
        </w:rPr>
        <w:t xml:space="preserve"> Еуразиялық үкіметаралық кеңестің шешімдеріне енгізілетін</w:t>
      </w:r>
      <w:r>
        <w:br/>
      </w:r>
      <w:r>
        <w:rPr>
          <w:rFonts w:ascii="Times New Roman"/>
          <w:b/>
          <w:i w:val="false"/>
          <w:color w:val="000000"/>
        </w:rPr>
        <w:t>ӨЗГЕРІСТЕР</w:t>
      </w:r>
    </w:p>
    <w:bookmarkEnd w:id="0"/>
    <w:bookmarkStart w:name="z3" w:id="1"/>
    <w:p>
      <w:pPr>
        <w:spacing w:after="0"/>
        <w:ind w:left="0"/>
        <w:jc w:val="both"/>
      </w:pPr>
      <w:r>
        <w:rPr>
          <w:rFonts w:ascii="Times New Roman"/>
          <w:b w:val="false"/>
          <w:i w:val="false"/>
          <w:color w:val="000000"/>
          <w:sz w:val="28"/>
        </w:rPr>
        <w:t>
      1. Еуразиялық үкіметаралық кеңестің "Еуразиялық өнеркәсіптік кооперация, субконтрактация және технологиялар трансфері желісі" жобасын іске асыру туралы" 2019 жылғы 30 сәуірдегі № 2 шешімінің 3-тармағының үшінші абзацындағы "2019 – 2020 жылдары" деген сөздер "2020 – 2021 жылдары" деген сөздермен ауыстырылсын.</w:t>
      </w:r>
    </w:p>
    <w:bookmarkEnd w:id="1"/>
    <w:bookmarkStart w:name="z4" w:id="2"/>
    <w:p>
      <w:pPr>
        <w:spacing w:after="0"/>
        <w:ind w:left="0"/>
        <w:jc w:val="both"/>
      </w:pPr>
      <w:r>
        <w:rPr>
          <w:rFonts w:ascii="Times New Roman"/>
          <w:b w:val="false"/>
          <w:i w:val="false"/>
          <w:color w:val="000000"/>
          <w:sz w:val="28"/>
        </w:rPr>
        <w:t>
      2. Еуразиялық үкіметаралық кеңестің 2019 жылғы 9 тамыздағы № 8 Шешімімен бекітілген "Еуразиялық өнеркәсіптік кооперация, субконтрактация және технологиялар трансфері желісі" жобасының паспорты мынадай редакцияда жазылсын: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 кеңестің 2019 жылғы 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 кеңестің 2020 жылғы 31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шешімінің редакциясында)</w:t>
            </w:r>
          </w:p>
        </w:tc>
      </w:tr>
    </w:tbl>
    <w:bookmarkStart w:name="z5" w:id="3"/>
    <w:p>
      <w:pPr>
        <w:spacing w:after="0"/>
        <w:ind w:left="0"/>
        <w:jc w:val="left"/>
      </w:pPr>
      <w:r>
        <w:rPr>
          <w:rFonts w:ascii="Times New Roman"/>
          <w:b/>
          <w:i w:val="false"/>
          <w:color w:val="000000"/>
        </w:rPr>
        <w:t xml:space="preserve"> "Еуразиялық өнеркәсіптік кооперация, субконтрактация және технологиялар</w:t>
      </w:r>
      <w:r>
        <w:br/>
      </w:r>
      <w:r>
        <w:rPr>
          <w:rFonts w:ascii="Times New Roman"/>
          <w:b/>
          <w:i w:val="false"/>
          <w:color w:val="000000"/>
        </w:rPr>
        <w:t>трансфері желісі" жобасының</w:t>
      </w:r>
      <w:r>
        <w:br/>
      </w:r>
      <w:r>
        <w:rPr>
          <w:rFonts w:ascii="Times New Roman"/>
          <w:b/>
          <w:i w:val="false"/>
          <w:color w:val="000000"/>
        </w:rPr>
        <w:t>ПАСПОРТЫ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өнеркәсіптік кооперация, субконтрактация және технологиялар трансфері желісі (бұдан әрі – Еуразиялық желі)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Жобаның мақсаты және негізгі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мақсаттары мыналар болып табылады: </w:t>
            </w:r>
          </w:p>
          <w:p>
            <w:pPr>
              <w:spacing w:after="20"/>
              <w:ind w:left="20"/>
              <w:jc w:val="both"/>
            </w:pPr>
            <w:r>
              <w:rPr>
                <w:rFonts w:ascii="Times New Roman"/>
                <w:b w:val="false"/>
                <w:i w:val="false"/>
                <w:color w:val="000000"/>
                <w:sz w:val="20"/>
              </w:rPr>
              <w:t>
өнеркәсіптік кооперация, субконтрактация және технологиялар трансфері мақсатында Еуразиялық экономикалық одаққа мүше мемлекеттердің шаруашылық жүргізуші субъектілерінің (бұдан әрі тиісінше – Одақ, мүше мемлекеттер,  шаруашылық жүргізуші субъектілер) өзара іс-қимыл жасауын қамтамасыз ету үшін цифрлық экожүйе құру;</w:t>
            </w:r>
          </w:p>
          <w:p>
            <w:pPr>
              <w:spacing w:after="20"/>
              <w:ind w:left="20"/>
              <w:jc w:val="both"/>
            </w:pPr>
            <w:r>
              <w:rPr>
                <w:rFonts w:ascii="Times New Roman"/>
                <w:b w:val="false"/>
                <w:i w:val="false"/>
                <w:color w:val="000000"/>
                <w:sz w:val="20"/>
              </w:rPr>
              <w:t>
шағын және орта кәсіпорындарды ірі өндірушілердің өндірістік тізбегіне тарту;</w:t>
            </w:r>
          </w:p>
          <w:p>
            <w:pPr>
              <w:spacing w:after="20"/>
              <w:ind w:left="20"/>
              <w:jc w:val="both"/>
            </w:pPr>
            <w:r>
              <w:rPr>
                <w:rFonts w:ascii="Times New Roman"/>
                <w:b w:val="false"/>
                <w:i w:val="false"/>
                <w:color w:val="000000"/>
                <w:sz w:val="20"/>
              </w:rPr>
              <w:t>
мүше мемлекеттердің шаруашылық жүргізуші субъектілерінің және мемлекеттік билік органдарының "өтпелі" процестер мен цифрлық сервистердегі қажеттіліктерін қанағаттандыру үшін жағдай жасау;</w:t>
            </w:r>
          </w:p>
          <w:p>
            <w:pPr>
              <w:spacing w:after="20"/>
              <w:ind w:left="20"/>
              <w:jc w:val="both"/>
            </w:pPr>
            <w:r>
              <w:rPr>
                <w:rFonts w:ascii="Times New Roman"/>
                <w:b w:val="false"/>
                <w:i w:val="false"/>
                <w:color w:val="000000"/>
                <w:sz w:val="20"/>
              </w:rPr>
              <w:t xml:space="preserve">
өндірістік тізбектерді модельдеу және өндірістік қуаттарды оңтайлы іске қосу; </w:t>
            </w:r>
          </w:p>
          <w:p>
            <w:pPr>
              <w:spacing w:after="20"/>
              <w:ind w:left="20"/>
              <w:jc w:val="both"/>
            </w:pPr>
            <w:r>
              <w:rPr>
                <w:rFonts w:ascii="Times New Roman"/>
                <w:b w:val="false"/>
                <w:i w:val="false"/>
                <w:color w:val="000000"/>
                <w:sz w:val="20"/>
              </w:rPr>
              <w:t xml:space="preserve">
инновациялық процестерді технологиялар трансфері арқылы ынталандыру; </w:t>
            </w:r>
          </w:p>
          <w:p>
            <w:pPr>
              <w:spacing w:after="20"/>
              <w:ind w:left="20"/>
              <w:jc w:val="both"/>
            </w:pPr>
            <w:r>
              <w:rPr>
                <w:rFonts w:ascii="Times New Roman"/>
                <w:b w:val="false"/>
                <w:i w:val="false"/>
                <w:color w:val="000000"/>
                <w:sz w:val="20"/>
              </w:rPr>
              <w:t>
шаруашылық жүргізуші субъектілердің өнімінін мүше мемлекеттер мен үшінші елдердің халықаралық цифрлық экожүйелерін пайдалана отырып ілгерілету мүмкіндігі.</w:t>
            </w:r>
          </w:p>
          <w:p>
            <w:pPr>
              <w:spacing w:after="20"/>
              <w:ind w:left="20"/>
              <w:jc w:val="both"/>
            </w:pPr>
            <w:r>
              <w:rPr>
                <w:rFonts w:ascii="Times New Roman"/>
                <w:b w:val="false"/>
                <w:i w:val="false"/>
                <w:color w:val="000000"/>
                <w:sz w:val="20"/>
              </w:rPr>
              <w:t xml:space="preserve">
Жобаны іске асыру нәтижесінде мүше мемлекеттердің аумақ бойынша бөлінген сервистер жиынтығына, оның ішінде евразиялық желінің ұлттық компоненттерінің (бұдан әрі – ұлттық компонент) өнеркәсіптік кооперация, субконтрактация және технологиялар трансфері сервистерін тарту есебінен қолжетімділік және шаруашылық жүргізу қызметін жүргізу үшін қажетті және өнеркәсіптік кооперация, субконтрактация және технологиялар трансферін қолдауды қамтамасыз ететін шоғырландырылған көлемді ақпаратқа қолжетімділік қамтамасыз етіледі. </w:t>
            </w:r>
          </w:p>
          <w:p>
            <w:pPr>
              <w:spacing w:after="20"/>
              <w:ind w:left="20"/>
              <w:jc w:val="both"/>
            </w:pPr>
            <w:r>
              <w:rPr>
                <w:rFonts w:ascii="Times New Roman"/>
                <w:b w:val="false"/>
                <w:i w:val="false"/>
                <w:color w:val="000000"/>
                <w:sz w:val="20"/>
              </w:rPr>
              <w:t>
Еуразиялық желі құру мүше мемлекеттер мен Еуразиялық экономикалық комиссияның (бұдан әрі – Комиссия) кросс-салалық процестерді жүргізу және мүше мемлекеттердің аумақтарында шаруашылық жүргізуші субъектілерді цифрлық кооперациялауға қолдау көрсету құралдарын пайдалану кезінде бірлескен міндеттерді шешуі процесінде синергетикалық әсерге қол жеткізуді,  цифрлық күн тәртібіне бизнесті тартуды кеңейтуді және цифрлық айырмашылықты еңсеруді, сондай-ақ қолайлы іскерлік ортаны дамытуды көздейді.</w:t>
            </w:r>
          </w:p>
          <w:p>
            <w:pPr>
              <w:spacing w:after="20"/>
              <w:ind w:left="20"/>
              <w:jc w:val="both"/>
            </w:pPr>
            <w:r>
              <w:rPr>
                <w:rFonts w:ascii="Times New Roman"/>
                <w:b w:val="false"/>
                <w:i w:val="false"/>
                <w:color w:val="000000"/>
                <w:sz w:val="20"/>
              </w:rPr>
              <w:t>
Жобаның негізгі нәтижелері мыналар болып табылады:</w:t>
            </w:r>
          </w:p>
          <w:p>
            <w:pPr>
              <w:spacing w:after="20"/>
              <w:ind w:left="20"/>
              <w:jc w:val="both"/>
            </w:pPr>
            <w:r>
              <w:rPr>
                <w:rFonts w:ascii="Times New Roman"/>
                <w:b w:val="false"/>
                <w:i w:val="false"/>
                <w:color w:val="000000"/>
                <w:sz w:val="20"/>
              </w:rPr>
              <w:t>
жобаны іске асыру жөніндегі іс-шаралардың жоғары деңгейдегі жоспарын орындау;</w:t>
            </w:r>
          </w:p>
          <w:p>
            <w:pPr>
              <w:spacing w:after="20"/>
              <w:ind w:left="20"/>
              <w:jc w:val="both"/>
            </w:pPr>
            <w:r>
              <w:rPr>
                <w:rFonts w:ascii="Times New Roman"/>
                <w:b w:val="false"/>
                <w:i w:val="false"/>
                <w:color w:val="000000"/>
                <w:sz w:val="20"/>
              </w:rPr>
              <w:t>
еуразиялық желінің базалық және интеграциялық компоненттерін (бұдан әрі – интеграциялық компонент) құру.</w:t>
            </w:r>
          </w:p>
          <w:p>
            <w:pPr>
              <w:spacing w:after="20"/>
              <w:ind w:left="20"/>
              <w:jc w:val="both"/>
            </w:pPr>
            <w:r>
              <w:rPr>
                <w:rFonts w:ascii="Times New Roman"/>
                <w:b w:val="false"/>
                <w:i w:val="false"/>
                <w:color w:val="000000"/>
                <w:sz w:val="20"/>
              </w:rPr>
              <w:t>
Мынадай еуразиялық желі сервистері қосылуға тиіс.</w:t>
            </w:r>
          </w:p>
          <w:p>
            <w:pPr>
              <w:spacing w:after="20"/>
              <w:ind w:left="20"/>
              <w:jc w:val="both"/>
            </w:pPr>
            <w:r>
              <w:rPr>
                <w:rFonts w:ascii="Times New Roman"/>
                <w:b w:val="false"/>
                <w:i w:val="false"/>
                <w:color w:val="000000"/>
                <w:sz w:val="20"/>
              </w:rPr>
              <w:t>
Шаруашылық жүргізуші субъектілердің жұмысы жөніндегі базалық сервистер:</w:t>
            </w:r>
          </w:p>
          <w:p>
            <w:pPr>
              <w:spacing w:after="20"/>
              <w:ind w:left="20"/>
              <w:jc w:val="both"/>
            </w:pPr>
            <w:r>
              <w:rPr>
                <w:rFonts w:ascii="Times New Roman"/>
                <w:b w:val="false"/>
                <w:i w:val="false"/>
                <w:color w:val="000000"/>
                <w:sz w:val="20"/>
              </w:rPr>
              <w:t>
еуразиялық желінің шаруашылық жүргізуші субъектілері тізіліміне шаруашылық жүргізуші субъектілер туралы мәліметтерді енгізу, верификациялау және іздестіру;</w:t>
            </w:r>
          </w:p>
          <w:p>
            <w:pPr>
              <w:spacing w:after="20"/>
              <w:ind w:left="20"/>
              <w:jc w:val="both"/>
            </w:pPr>
            <w:r>
              <w:rPr>
                <w:rFonts w:ascii="Times New Roman"/>
                <w:b w:val="false"/>
                <w:i w:val="false"/>
                <w:color w:val="000000"/>
                <w:sz w:val="20"/>
              </w:rPr>
              <w:t>
ақпараттық ресурстарға өндірілетін өнім, көрсетілетін қызметтер, технологиялар, сондай-ақ оларға сұраныс туралы мәліметтерді енгізу, верификациялау және іздестіру.</w:t>
            </w:r>
          </w:p>
          <w:p>
            <w:pPr>
              <w:spacing w:after="20"/>
              <w:ind w:left="20"/>
              <w:jc w:val="both"/>
            </w:pPr>
            <w:r>
              <w:rPr>
                <w:rFonts w:ascii="Times New Roman"/>
                <w:b w:val="false"/>
                <w:i w:val="false"/>
                <w:color w:val="000000"/>
                <w:sz w:val="20"/>
              </w:rPr>
              <w:t>
Базалық талдамалық сервистер:</w:t>
            </w:r>
          </w:p>
          <w:p>
            <w:pPr>
              <w:spacing w:after="20"/>
              <w:ind w:left="20"/>
              <w:jc w:val="both"/>
            </w:pPr>
            <w:r>
              <w:rPr>
                <w:rFonts w:ascii="Times New Roman"/>
                <w:b w:val="false"/>
                <w:i w:val="false"/>
                <w:color w:val="000000"/>
                <w:sz w:val="20"/>
              </w:rPr>
              <w:t xml:space="preserve">
мүше мемлекеттерде көп қырлы талдау мүмкіндігі бар өнеркәсіптік кооперация, субконтрактация және технологиялар трансферіне талдау жасау және мониторингтеу сервистері; </w:t>
            </w:r>
          </w:p>
          <w:p>
            <w:pPr>
              <w:spacing w:after="20"/>
              <w:ind w:left="20"/>
              <w:jc w:val="both"/>
            </w:pPr>
            <w:r>
              <w:rPr>
                <w:rFonts w:ascii="Times New Roman"/>
                <w:b w:val="false"/>
                <w:i w:val="false"/>
                <w:color w:val="000000"/>
                <w:sz w:val="20"/>
              </w:rPr>
              <w:t>
индустриялық-инновациялық объектілер мен олардың инфрақұрылымы туралы мәліметтерге қолжетімділікті қамтамасыз ету ("Өнеркәсіп атласы") геоақпараттық сервисі);</w:t>
            </w:r>
          </w:p>
          <w:p>
            <w:pPr>
              <w:spacing w:after="20"/>
              <w:ind w:left="20"/>
              <w:jc w:val="both"/>
            </w:pPr>
            <w:r>
              <w:rPr>
                <w:rFonts w:ascii="Times New Roman"/>
                <w:b w:val="false"/>
                <w:i w:val="false"/>
                <w:color w:val="000000"/>
                <w:sz w:val="20"/>
              </w:rPr>
              <w:t>
өнеркәсіптік кооперация, субконтрактация және технологиялар трансфері туралы білім базасы (wiki).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Ұлттық сервистер:</w:t>
            </w:r>
          </w:p>
          <w:p>
            <w:pPr>
              <w:spacing w:after="20"/>
              <w:ind w:left="20"/>
              <w:jc w:val="both"/>
            </w:pPr>
            <w:r>
              <w:rPr>
                <w:rFonts w:ascii="Times New Roman"/>
                <w:b w:val="false"/>
                <w:i w:val="false"/>
                <w:color w:val="000000"/>
                <w:sz w:val="20"/>
              </w:rPr>
              <w:t>
Технологиялық сұрау салулар мен технологиялық ұсыныстар қалыптастыру жөніндегі технологиялар трансфері сервистері;</w:t>
            </w:r>
          </w:p>
          <w:p>
            <w:pPr>
              <w:spacing w:after="20"/>
              <w:ind w:left="20"/>
              <w:jc w:val="both"/>
            </w:pPr>
            <w:r>
              <w:rPr>
                <w:rFonts w:ascii="Times New Roman"/>
                <w:b w:val="false"/>
                <w:i w:val="false"/>
                <w:color w:val="000000"/>
                <w:sz w:val="20"/>
              </w:rPr>
              <w:t>
өнеркәсіп кәсіпорындарын қолдау жөніндегі бағыттаушы сервис;</w:t>
            </w:r>
          </w:p>
          <w:p>
            <w:pPr>
              <w:spacing w:after="20"/>
              <w:ind w:left="20"/>
              <w:jc w:val="both"/>
            </w:pPr>
            <w:r>
              <w:rPr>
                <w:rFonts w:ascii="Times New Roman"/>
                <w:b w:val="false"/>
                <w:i w:val="false"/>
                <w:color w:val="000000"/>
                <w:sz w:val="20"/>
              </w:rPr>
              <w:t>
өнеркәсіп өнімін сертификаттау және омологациялау бойынша көрсетілетін қызметтерді, оның ішінде  өндірістік объектілерді стандарттау бойынша көрсетілетін қызметтерді іздестіру және оларға тапсырыс беру сервисі.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Сервис-провайдерлер сервистері:</w:t>
            </w:r>
          </w:p>
          <w:p>
            <w:pPr>
              <w:spacing w:after="20"/>
              <w:ind w:left="20"/>
              <w:jc w:val="both"/>
            </w:pPr>
            <w:r>
              <w:rPr>
                <w:rFonts w:ascii="Times New Roman"/>
                <w:b w:val="false"/>
                <w:i w:val="false"/>
                <w:color w:val="000000"/>
                <w:sz w:val="20"/>
              </w:rPr>
              <w:t>
таңдап алынған субконтрактация тізбегі бойынша келісімшарттар жасасу сервисі;</w:t>
            </w:r>
          </w:p>
          <w:p>
            <w:pPr>
              <w:spacing w:after="20"/>
              <w:ind w:left="20"/>
              <w:jc w:val="both"/>
            </w:pPr>
            <w:r>
              <w:rPr>
                <w:rFonts w:ascii="Times New Roman"/>
                <w:b w:val="false"/>
                <w:i w:val="false"/>
                <w:color w:val="000000"/>
                <w:sz w:val="20"/>
              </w:rPr>
              <w:t>
кооперациялық тізбектер құру сервисі;</w:t>
            </w:r>
          </w:p>
          <w:p>
            <w:pPr>
              <w:spacing w:after="20"/>
              <w:ind w:left="20"/>
              <w:jc w:val="both"/>
            </w:pPr>
            <w:r>
              <w:rPr>
                <w:rFonts w:ascii="Times New Roman"/>
                <w:b w:val="false"/>
                <w:i w:val="false"/>
                <w:color w:val="000000"/>
                <w:sz w:val="20"/>
              </w:rPr>
              <w:t>
банктік сүйемелдеу сервисі;</w:t>
            </w:r>
          </w:p>
          <w:p>
            <w:pPr>
              <w:spacing w:after="20"/>
              <w:ind w:left="20"/>
              <w:jc w:val="both"/>
            </w:pPr>
            <w:r>
              <w:rPr>
                <w:rFonts w:ascii="Times New Roman"/>
                <w:b w:val="false"/>
                <w:i w:val="false"/>
                <w:color w:val="000000"/>
                <w:sz w:val="20"/>
              </w:rPr>
              <w:t>
келісімшарттың орындалуын бақылау сервисі;</w:t>
            </w:r>
          </w:p>
          <w:p>
            <w:pPr>
              <w:spacing w:after="20"/>
              <w:ind w:left="20"/>
              <w:jc w:val="both"/>
            </w:pPr>
            <w:r>
              <w:rPr>
                <w:rFonts w:ascii="Times New Roman"/>
                <w:b w:val="false"/>
                <w:i w:val="false"/>
                <w:color w:val="000000"/>
                <w:sz w:val="20"/>
              </w:rPr>
              <w:t>
көліктік-логистикалық сүйемелдеу сервистері;</w:t>
            </w:r>
          </w:p>
          <w:p>
            <w:pPr>
              <w:spacing w:after="20"/>
              <w:ind w:left="20"/>
              <w:jc w:val="both"/>
            </w:pPr>
            <w:r>
              <w:rPr>
                <w:rFonts w:ascii="Times New Roman"/>
                <w:b w:val="false"/>
                <w:i w:val="false"/>
                <w:color w:val="000000"/>
                <w:sz w:val="20"/>
              </w:rPr>
              <w:t>
қаржылық қызметтер мен сақтандыру қызметтерінің маркетплейсі;</w:t>
            </w:r>
          </w:p>
          <w:p>
            <w:pPr>
              <w:spacing w:after="20"/>
              <w:ind w:left="20"/>
              <w:jc w:val="both"/>
            </w:pPr>
            <w:r>
              <w:rPr>
                <w:rFonts w:ascii="Times New Roman"/>
                <w:b w:val="false"/>
                <w:i w:val="false"/>
                <w:color w:val="000000"/>
                <w:sz w:val="20"/>
              </w:rPr>
              <w:t>
салалық және халықаралық бенчмаркинг;</w:t>
            </w:r>
          </w:p>
          <w:p>
            <w:pPr>
              <w:spacing w:after="20"/>
              <w:ind w:left="20"/>
              <w:jc w:val="both"/>
            </w:pPr>
            <w:r>
              <w:rPr>
                <w:rFonts w:ascii="Times New Roman"/>
                <w:b w:val="false"/>
                <w:i w:val="false"/>
                <w:color w:val="000000"/>
                <w:sz w:val="20"/>
              </w:rPr>
              <w:t>
заңдық тұрғыдан маңызды құжат айналымы, шаруашылық жүргізуші субъектілер арасында деректер алмасу (EDI);</w:t>
            </w:r>
          </w:p>
          <w:p>
            <w:pPr>
              <w:spacing w:after="20"/>
              <w:ind w:left="20"/>
              <w:jc w:val="both"/>
            </w:pPr>
            <w:r>
              <w:rPr>
                <w:rFonts w:ascii="Times New Roman"/>
                <w:b w:val="false"/>
                <w:i w:val="false"/>
                <w:color w:val="000000"/>
                <w:sz w:val="20"/>
              </w:rPr>
              <w:t>
портфельдік инвесторды сүйемелдеу, контрагентті іздестіру және индустриялық жобаларға инвестиция салу туралы шарттарды жасасу сервисі;</w:t>
            </w:r>
          </w:p>
          <w:p>
            <w:pPr>
              <w:spacing w:after="20"/>
              <w:ind w:left="20"/>
              <w:jc w:val="both"/>
            </w:pPr>
            <w:r>
              <w:rPr>
                <w:rFonts w:ascii="Times New Roman"/>
                <w:b w:val="false"/>
                <w:i w:val="false"/>
                <w:color w:val="000000"/>
                <w:sz w:val="20"/>
              </w:rPr>
              <w:t>
смарт-келісімшарттар жасасу мүмкіндігін беру жөніндегі сервис;</w:t>
            </w:r>
          </w:p>
          <w:p>
            <w:pPr>
              <w:spacing w:after="20"/>
              <w:ind w:left="20"/>
              <w:jc w:val="both"/>
            </w:pPr>
            <w:r>
              <w:rPr>
                <w:rFonts w:ascii="Times New Roman"/>
                <w:b w:val="false"/>
                <w:i w:val="false"/>
                <w:color w:val="000000"/>
                <w:sz w:val="20"/>
              </w:rPr>
              <w:t>
кепілді тапсырысты қамтамасыз ету сервисі;</w:t>
            </w:r>
          </w:p>
          <w:p>
            <w:pPr>
              <w:spacing w:after="20"/>
              <w:ind w:left="20"/>
              <w:jc w:val="both"/>
            </w:pPr>
            <w:r>
              <w:rPr>
                <w:rFonts w:ascii="Times New Roman"/>
                <w:b w:val="false"/>
                <w:i w:val="false"/>
                <w:color w:val="000000"/>
                <w:sz w:val="20"/>
              </w:rPr>
              <w:t>
өндіріс алаңын, жабдық пен мүлікті жалға алу сервисі.</w:t>
            </w:r>
          </w:p>
          <w:p>
            <w:pPr>
              <w:spacing w:after="20"/>
              <w:ind w:left="20"/>
              <w:jc w:val="both"/>
            </w:pPr>
            <w:r>
              <w:rPr>
                <w:rFonts w:ascii="Times New Roman"/>
                <w:b w:val="false"/>
                <w:i w:val="false"/>
                <w:color w:val="000000"/>
                <w:sz w:val="20"/>
              </w:rPr>
              <w:t xml:space="preserve">
Ұлттық компонент операторының және (немесе) ұлттық сервис-провайдердің нақты сервисті ұсыну туралы шешімі ұлттық деңгейде қабылданады.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Нысаналы индикаторлар және  жобаның нәтижелілігінің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нысаналы индикаторлар мен базалық сценарий бойынша жобаның нәтижелілік көрсеткіштеріне қол жеткізілуге тиіс.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Еуразиялық желінің шаруашылық жүргізуші субъектілері тізіліміне енгізілген шаруашылық жүргізуші субъектілер саны (базалық сценарий):</w:t>
            </w:r>
          </w:p>
          <w:p>
            <w:pPr>
              <w:spacing w:after="20"/>
              <w:ind w:left="20"/>
              <w:jc w:val="both"/>
            </w:pPr>
            <w:r>
              <w:rPr>
                <w:rFonts w:ascii="Times New Roman"/>
                <w:b w:val="false"/>
                <w:i w:val="false"/>
                <w:color w:val="000000"/>
                <w:sz w:val="20"/>
              </w:rPr>
              <w:t>
I кезең (2020 ж. I – IV тоқсандары) – 17,3 мың шаруашылық жүргізуші субъект;</w:t>
            </w:r>
          </w:p>
          <w:p>
            <w:pPr>
              <w:spacing w:after="20"/>
              <w:ind w:left="20"/>
              <w:jc w:val="both"/>
            </w:pPr>
            <w:r>
              <w:rPr>
                <w:rFonts w:ascii="Times New Roman"/>
                <w:b w:val="false"/>
                <w:i w:val="false"/>
                <w:color w:val="000000"/>
                <w:sz w:val="20"/>
              </w:rPr>
              <w:t>
II кезең (2021 ж. I – IV тоқсандары) – 64,3 мың шаруашылық жүргізуші субъект;</w:t>
            </w:r>
          </w:p>
          <w:p>
            <w:pPr>
              <w:spacing w:after="20"/>
              <w:ind w:left="20"/>
              <w:jc w:val="both"/>
            </w:pPr>
            <w:r>
              <w:rPr>
                <w:rFonts w:ascii="Times New Roman"/>
                <w:b w:val="false"/>
                <w:i w:val="false"/>
                <w:color w:val="000000"/>
                <w:sz w:val="20"/>
              </w:rPr>
              <w:t>
2025 жылы – 134,7 мың шаруашылық жүргізуші субъект.</w:t>
            </w:r>
          </w:p>
          <w:p>
            <w:pPr>
              <w:spacing w:after="20"/>
              <w:ind w:left="20"/>
              <w:jc w:val="both"/>
            </w:pPr>
            <w:r>
              <w:rPr>
                <w:rFonts w:ascii="Times New Roman"/>
                <w:b w:val="false"/>
                <w:i w:val="false"/>
                <w:color w:val="000000"/>
                <w:sz w:val="20"/>
              </w:rPr>
              <w:t>
Ақпараттық ресурстардағы өнім, көрсетілетін қызметтер, технологиялар бірліктерінің саны (өнім, көрсетілетін қызметтер, технологиялар туралы, сондай-ақ оларға сұраныс туралы мәліметтер) (базалық сценарий):</w:t>
            </w:r>
          </w:p>
          <w:p>
            <w:pPr>
              <w:spacing w:after="20"/>
              <w:ind w:left="20"/>
              <w:jc w:val="both"/>
            </w:pPr>
            <w:r>
              <w:rPr>
                <w:rFonts w:ascii="Times New Roman"/>
                <w:b w:val="false"/>
                <w:i w:val="false"/>
                <w:color w:val="000000"/>
                <w:sz w:val="20"/>
              </w:rPr>
              <w:t>
I кезең (2020 ж. I – IV тоқсандары) – 35,0 мың бірлік;</w:t>
            </w:r>
          </w:p>
          <w:p>
            <w:pPr>
              <w:spacing w:after="20"/>
              <w:ind w:left="20"/>
              <w:jc w:val="both"/>
            </w:pPr>
            <w:r>
              <w:rPr>
                <w:rFonts w:ascii="Times New Roman"/>
                <w:b w:val="false"/>
                <w:i w:val="false"/>
                <w:color w:val="000000"/>
                <w:sz w:val="20"/>
              </w:rPr>
              <w:t>
II кезең (2021 ж. I – IV тоқсандары) – 128,3 мың бірлік;</w:t>
            </w:r>
          </w:p>
          <w:p>
            <w:pPr>
              <w:spacing w:after="20"/>
              <w:ind w:left="20"/>
              <w:jc w:val="both"/>
            </w:pPr>
            <w:r>
              <w:rPr>
                <w:rFonts w:ascii="Times New Roman"/>
                <w:b w:val="false"/>
                <w:i w:val="false"/>
                <w:color w:val="000000"/>
                <w:sz w:val="20"/>
              </w:rPr>
              <w:t>
2025 жылы – 258,6 мың бірлік.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мүше мемлекеттер мен еуразиялық желіге кіру перспективасы бар үшінші елдер арасында трансшекаралық сауда шеңберінде жасалған келісімшарттар саны – Германия, Қытай, Сингапур: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Мүше мемлекеттер, мүше мемлекеттер мен еуразиялық желіге кіру перспективасы бар үшінші елдер арасында трансшекаралық сауда шеңберінде жасалған мәмілелер көлемі  – Германия, Қытай, Сингапур (еуразиялық желіге қосылу есебінен айналым өсімін есепке ала отырып):</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 (млн рубль)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Жоба шеңберлері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шеңберінде құрылатын еуразиялық желі өнеркәсіптік кооперацияны, субконтрактацияны және технологиялар трансферін жүзеге асыру кезінде шаруашылық жүргізуші субъектілердің өзара іс-қимыл жасасуын қамтамасыз етуге арналған. </w:t>
            </w:r>
          </w:p>
          <w:p>
            <w:pPr>
              <w:spacing w:after="20"/>
              <w:ind w:left="20"/>
              <w:jc w:val="both"/>
            </w:pPr>
            <w:r>
              <w:rPr>
                <w:rFonts w:ascii="Times New Roman"/>
                <w:b w:val="false"/>
                <w:i w:val="false"/>
                <w:color w:val="000000"/>
                <w:sz w:val="20"/>
              </w:rPr>
              <w:t>
Осы мақсатта:</w:t>
            </w:r>
          </w:p>
          <w:p>
            <w:pPr>
              <w:spacing w:after="20"/>
              <w:ind w:left="20"/>
              <w:jc w:val="both"/>
            </w:pPr>
            <w:r>
              <w:rPr>
                <w:rFonts w:ascii="Times New Roman"/>
                <w:b w:val="false"/>
                <w:i w:val="false"/>
                <w:color w:val="000000"/>
                <w:sz w:val="20"/>
              </w:rPr>
              <w:t xml:space="preserve">
шаруашылық жүргізуші субъектілер тізілімі, сондай-ақ өндірілетін өнім, көрсетілетін қызметтер, технологиялар туралы, сондай-ақ оларға сұраныс туралы мәліметтерді қамтитын ақпараттық ресурстар кіретін еуразиялық желінің бірыңғай тізілімін қалыптастыру; </w:t>
            </w:r>
          </w:p>
          <w:p>
            <w:pPr>
              <w:spacing w:after="20"/>
              <w:ind w:left="20"/>
              <w:jc w:val="both"/>
            </w:pPr>
            <w:r>
              <w:rPr>
                <w:rFonts w:ascii="Times New Roman"/>
                <w:b w:val="false"/>
                <w:i w:val="false"/>
                <w:color w:val="000000"/>
                <w:sz w:val="20"/>
              </w:rPr>
              <w:t>
өнеркәсіптік кооперация мен субконтрактация шеңберінде шаруашылық жүргізуші субъектілердің өзара іс-қимылын цифрландыру және қажет болған кезде олардың реинжинирингі;</w:t>
            </w:r>
          </w:p>
          <w:p>
            <w:pPr>
              <w:spacing w:after="20"/>
              <w:ind w:left="20"/>
              <w:jc w:val="both"/>
            </w:pPr>
            <w:r>
              <w:rPr>
                <w:rFonts w:ascii="Times New Roman"/>
                <w:b w:val="false"/>
                <w:i w:val="false"/>
                <w:color w:val="000000"/>
                <w:sz w:val="20"/>
              </w:rPr>
              <w:t xml:space="preserve">
технологиялар трансфері процестерін цифрландыру және қажет болған кезде олардың реинжинирингі; </w:t>
            </w:r>
          </w:p>
          <w:p>
            <w:pPr>
              <w:spacing w:after="20"/>
              <w:ind w:left="20"/>
              <w:jc w:val="both"/>
            </w:pPr>
            <w:r>
              <w:rPr>
                <w:rFonts w:ascii="Times New Roman"/>
                <w:b w:val="false"/>
                <w:i w:val="false"/>
                <w:color w:val="000000"/>
                <w:sz w:val="20"/>
              </w:rPr>
              <w:t>
өнеркәсіптік кооперация, субконтрактация және технологиялар трансфері процестерін (атап айтқанда қаржылық) цифрландыру;</w:t>
            </w:r>
          </w:p>
          <w:p>
            <w:pPr>
              <w:spacing w:after="20"/>
              <w:ind w:left="20"/>
              <w:jc w:val="both"/>
            </w:pPr>
            <w:r>
              <w:rPr>
                <w:rFonts w:ascii="Times New Roman"/>
                <w:b w:val="false"/>
                <w:i w:val="false"/>
                <w:color w:val="000000"/>
                <w:sz w:val="20"/>
              </w:rPr>
              <w:t>
өнеркәсіптік кооперация, субконтрактация және технологиялар трансфері шеңберінде шаруашылық жүргізуші субъектілердің өзара іс-қимылы туралы ақпаратты мониторингтеу және талдау құралдарын жасау көзделеді.</w:t>
            </w:r>
          </w:p>
          <w:p>
            <w:pPr>
              <w:spacing w:after="20"/>
              <w:ind w:left="20"/>
              <w:jc w:val="both"/>
            </w:pPr>
            <w:r>
              <w:rPr>
                <w:rFonts w:ascii="Times New Roman"/>
                <w:b w:val="false"/>
                <w:i w:val="false"/>
                <w:color w:val="000000"/>
                <w:sz w:val="20"/>
              </w:rPr>
              <w:t>
Еуразиялық желі сонымен бірге өнеркәсіптік кооперация, субконтрактация және технологиялар трансфері процестерін цифрландыруды қамтамасыз ететін ұлттық компоненттердің функционалдық сервистеріне қолжетімділік беретін болады. Кейіннен еуразиялық желі өнеркәсіптік кооперация, субконтрактация және технологиялар трансфері процестерімен байланысты қызметті жүзеге асыру үшін қажетті қаржылық, логистикалық, кедендік және өзге де қызметтерді ұсынатын сервистерді қосу арқылы кеңейтілуі және жетілдірілуі мүмкін.</w:t>
            </w:r>
          </w:p>
          <w:p>
            <w:pPr>
              <w:spacing w:after="20"/>
              <w:ind w:left="20"/>
              <w:jc w:val="both"/>
            </w:pPr>
            <w:r>
              <w:rPr>
                <w:rFonts w:ascii="Times New Roman"/>
                <w:b w:val="false"/>
                <w:i w:val="false"/>
                <w:color w:val="000000"/>
                <w:sz w:val="20"/>
              </w:rPr>
              <w:t>
Еуразиялық желі үшінші елдердің сервистері, сервис-провайдерлері, ұлттық компоненттері деңгейінде үшінші елдерден қатысушылармен өзара іс-қимыл және интеграция тетіктерін, сондай-ақ үшінші елдердің цифрлық платформаларымен өзара іс-қимыл жасау тетіктерін көздейтін болады.</w:t>
            </w:r>
          </w:p>
          <w:p>
            <w:pPr>
              <w:spacing w:after="20"/>
              <w:ind w:left="20"/>
              <w:jc w:val="both"/>
            </w:pPr>
            <w:r>
              <w:rPr>
                <w:rFonts w:ascii="Times New Roman"/>
                <w:b w:val="false"/>
                <w:i w:val="false"/>
                <w:color w:val="000000"/>
                <w:sz w:val="20"/>
              </w:rPr>
              <w:t>
Жоба шеңберінде:</w:t>
            </w:r>
          </w:p>
          <w:p>
            <w:pPr>
              <w:spacing w:after="20"/>
              <w:ind w:left="20"/>
              <w:jc w:val="both"/>
            </w:pPr>
            <w:r>
              <w:rPr>
                <w:rFonts w:ascii="Times New Roman"/>
                <w:b w:val="false"/>
                <w:i w:val="false"/>
                <w:color w:val="000000"/>
                <w:sz w:val="20"/>
              </w:rPr>
              <w:t>
үшінші елдердің сервистері, сервис-провайдерлері, ұлттық компоненттері деңгейінде үшінші елдерден қатысушылармен өзара іс-қимыл мен интеграцияны іс жүзінде іске асыру;</w:t>
            </w:r>
          </w:p>
          <w:p>
            <w:pPr>
              <w:spacing w:after="20"/>
              <w:ind w:left="20"/>
              <w:jc w:val="both"/>
            </w:pPr>
            <w:r>
              <w:rPr>
                <w:rFonts w:ascii="Times New Roman"/>
                <w:b w:val="false"/>
                <w:i w:val="false"/>
                <w:color w:val="000000"/>
                <w:sz w:val="20"/>
              </w:rPr>
              <w:t>
әскери-техникалық ынтымақтастыққа, мемлекеттік құпияға немесе таралуы шектеулі мәліметтерге жататын мәселелер бойынша кооперация;</w:t>
            </w:r>
          </w:p>
          <w:p>
            <w:pPr>
              <w:spacing w:after="20"/>
              <w:ind w:left="20"/>
              <w:jc w:val="both"/>
            </w:pPr>
            <w:r>
              <w:rPr>
                <w:rFonts w:ascii="Times New Roman"/>
                <w:b w:val="false"/>
                <w:i w:val="false"/>
                <w:color w:val="000000"/>
                <w:sz w:val="20"/>
              </w:rPr>
              <w:t>
еуразиялық желінің интеграциялық компонентінде дербес деректерді өңдеу және сақтау;</w:t>
            </w:r>
          </w:p>
          <w:p>
            <w:pPr>
              <w:spacing w:after="20"/>
              <w:ind w:left="20"/>
              <w:jc w:val="both"/>
            </w:pPr>
            <w:r>
              <w:rPr>
                <w:rFonts w:ascii="Times New Roman"/>
                <w:b w:val="false"/>
                <w:i w:val="false"/>
                <w:color w:val="000000"/>
                <w:sz w:val="20"/>
              </w:rPr>
              <w:t>
ұлттық деңгейдегі сервистерді қосқан кезде ұлттық компоненттер операторларының қызметін  регламенттеу көзделмеген.</w:t>
            </w:r>
          </w:p>
          <w:p>
            <w:pPr>
              <w:spacing w:after="20"/>
              <w:ind w:left="20"/>
              <w:jc w:val="both"/>
            </w:pPr>
            <w:r>
              <w:rPr>
                <w:rFonts w:ascii="Times New Roman"/>
                <w:b w:val="false"/>
                <w:i w:val="false"/>
                <w:color w:val="000000"/>
                <w:sz w:val="20"/>
              </w:rPr>
              <w:t>
Электрондық құжаттардың заңдық тұрғыдан маңыздылығын қамтамасыз етуді мүше мемлекеттердің заңнамасы және Одақ құқығы шеңберінде сервис-провайдерлер іске асырады.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Рұқсаттар, шектеулер,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p>
            <w:pPr>
              <w:spacing w:after="20"/>
              <w:ind w:left="20"/>
              <w:jc w:val="both"/>
            </w:pPr>
            <w:r>
              <w:rPr>
                <w:rFonts w:ascii="Times New Roman"/>
                <w:b w:val="false"/>
                <w:i w:val="false"/>
                <w:color w:val="000000"/>
                <w:sz w:val="20"/>
              </w:rPr>
              <w:t>
еуразиялық желінің экожүйелік байланыстарының тұрақсыздығы;</w:t>
            </w:r>
          </w:p>
          <w:p>
            <w:pPr>
              <w:spacing w:after="20"/>
              <w:ind w:left="20"/>
              <w:jc w:val="both"/>
            </w:pPr>
            <w:r>
              <w:rPr>
                <w:rFonts w:ascii="Times New Roman"/>
                <w:b w:val="false"/>
                <w:i w:val="false"/>
                <w:color w:val="000000"/>
                <w:sz w:val="20"/>
              </w:rPr>
              <w:t>
бағдарламалық-техникалық құралдардың және инфрақұрылым объектілерін сатып алудың (жалға алудың) қымбаттауына байланысты экономикалық (коммерциялық) тәуекелдер;</w:t>
            </w:r>
          </w:p>
          <w:p>
            <w:pPr>
              <w:spacing w:after="20"/>
              <w:ind w:left="20"/>
              <w:jc w:val="both"/>
            </w:pPr>
            <w:r>
              <w:rPr>
                <w:rFonts w:ascii="Times New Roman"/>
                <w:b w:val="false"/>
                <w:i w:val="false"/>
                <w:color w:val="000000"/>
                <w:sz w:val="20"/>
              </w:rPr>
              <w:t>
мүше мемлекеттердің электрондық цифрлық қолтаңбаны өзара тануы туралы шешімдердің ұзақ уақыт болмау тәуекелдері;</w:t>
            </w:r>
          </w:p>
          <w:p>
            <w:pPr>
              <w:spacing w:after="20"/>
              <w:ind w:left="20"/>
              <w:jc w:val="both"/>
            </w:pPr>
            <w:r>
              <w:rPr>
                <w:rFonts w:ascii="Times New Roman"/>
                <w:b w:val="false"/>
                <w:i w:val="false"/>
                <w:color w:val="000000"/>
                <w:sz w:val="20"/>
              </w:rPr>
              <w:t>
қаржылық тәуекелдер;</w:t>
            </w:r>
          </w:p>
          <w:p>
            <w:pPr>
              <w:spacing w:after="20"/>
              <w:ind w:left="20"/>
              <w:jc w:val="both"/>
            </w:pPr>
            <w:r>
              <w:rPr>
                <w:rFonts w:ascii="Times New Roman"/>
                <w:b w:val="false"/>
                <w:i w:val="false"/>
                <w:color w:val="000000"/>
                <w:sz w:val="20"/>
              </w:rPr>
              <w:t>
салықтық тәуекелдер;</w:t>
            </w:r>
          </w:p>
          <w:p>
            <w:pPr>
              <w:spacing w:after="20"/>
              <w:ind w:left="20"/>
              <w:jc w:val="both"/>
            </w:pPr>
            <w:r>
              <w:rPr>
                <w:rFonts w:ascii="Times New Roman"/>
                <w:b w:val="false"/>
                <w:i w:val="false"/>
                <w:color w:val="000000"/>
                <w:sz w:val="20"/>
              </w:rPr>
              <w:t>
кедендік-тарифтік реттеу тәуекелдері;</w:t>
            </w:r>
          </w:p>
          <w:p>
            <w:pPr>
              <w:spacing w:after="20"/>
              <w:ind w:left="20"/>
              <w:jc w:val="both"/>
            </w:pPr>
            <w:r>
              <w:rPr>
                <w:rFonts w:ascii="Times New Roman"/>
                <w:b w:val="false"/>
                <w:i w:val="false"/>
                <w:color w:val="000000"/>
                <w:sz w:val="20"/>
              </w:rPr>
              <w:t>
саяси тәуекелдер.</w:t>
            </w:r>
          </w:p>
          <w:p>
            <w:pPr>
              <w:spacing w:after="20"/>
              <w:ind w:left="20"/>
              <w:jc w:val="both"/>
            </w:pPr>
            <w:r>
              <w:rPr>
                <w:rFonts w:ascii="Times New Roman"/>
                <w:b w:val="false"/>
                <w:i w:val="false"/>
                <w:color w:val="000000"/>
                <w:sz w:val="20"/>
              </w:rPr>
              <w:t xml:space="preserve">
Шектеулер: </w:t>
            </w:r>
          </w:p>
          <w:p>
            <w:pPr>
              <w:spacing w:after="20"/>
              <w:ind w:left="20"/>
              <w:jc w:val="both"/>
            </w:pPr>
            <w:r>
              <w:rPr>
                <w:rFonts w:ascii="Times New Roman"/>
                <w:b w:val="false"/>
                <w:i w:val="false"/>
                <w:color w:val="000000"/>
                <w:sz w:val="20"/>
              </w:rPr>
              <w:t>
мүше мемлекеттер тарапынан қаржылық және әкімшілік қолдаудың қажеттігі;</w:t>
            </w:r>
          </w:p>
          <w:p>
            <w:pPr>
              <w:spacing w:after="20"/>
              <w:ind w:left="20"/>
              <w:jc w:val="both"/>
            </w:pPr>
            <w:r>
              <w:rPr>
                <w:rFonts w:ascii="Times New Roman"/>
                <w:b w:val="false"/>
                <w:i w:val="false"/>
                <w:color w:val="000000"/>
                <w:sz w:val="20"/>
              </w:rPr>
              <w:t xml:space="preserve">
оларды үйлестіру қажеттігін және іске асыруда ықтимал кешігуді ескере отырып,  басқа да еуразиялық цифрлық бастамалармен және Одақ шеңберіндегі жалпы процестерді іске асырумен байланысты болуы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Жобаны іске асыру мерзімдері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2020 ж. I – IV тоқсандары;</w:t>
            </w:r>
          </w:p>
          <w:p>
            <w:pPr>
              <w:spacing w:after="20"/>
              <w:ind w:left="20"/>
              <w:jc w:val="both"/>
            </w:pPr>
            <w:r>
              <w:rPr>
                <w:rFonts w:ascii="Times New Roman"/>
                <w:b w:val="false"/>
                <w:i w:val="false"/>
                <w:color w:val="000000"/>
                <w:sz w:val="20"/>
              </w:rPr>
              <w:t xml:space="preserve">
екінші кезең: 2021 ж. I – IV тоқсандары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Жобаға қатысушылардың рөлдері мен жауапкершілігін бөлу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желіге қатысушылар:</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мүше мемлекеттердің уәкілетті органдары;</w:t>
            </w:r>
          </w:p>
          <w:p>
            <w:pPr>
              <w:spacing w:after="20"/>
              <w:ind w:left="20"/>
              <w:jc w:val="both"/>
            </w:pPr>
            <w:r>
              <w:rPr>
                <w:rFonts w:ascii="Times New Roman"/>
                <w:b w:val="false"/>
                <w:i w:val="false"/>
                <w:color w:val="000000"/>
                <w:sz w:val="20"/>
              </w:rPr>
              <w:t>
еуразиялық желінің ұлттық компоненттерінің операторлары;</w:t>
            </w:r>
          </w:p>
          <w:p>
            <w:pPr>
              <w:spacing w:after="20"/>
              <w:ind w:left="20"/>
              <w:jc w:val="both"/>
            </w:pPr>
            <w:r>
              <w:rPr>
                <w:rFonts w:ascii="Times New Roman"/>
                <w:b w:val="false"/>
                <w:i w:val="false"/>
                <w:color w:val="000000"/>
                <w:sz w:val="20"/>
              </w:rPr>
              <w:t>
сервис-провайдерлер;</w:t>
            </w:r>
          </w:p>
          <w:p>
            <w:pPr>
              <w:spacing w:after="20"/>
              <w:ind w:left="20"/>
              <w:jc w:val="both"/>
            </w:pPr>
            <w:r>
              <w:rPr>
                <w:rFonts w:ascii="Times New Roman"/>
                <w:b w:val="false"/>
                <w:i w:val="false"/>
                <w:color w:val="000000"/>
                <w:sz w:val="20"/>
              </w:rPr>
              <w:t>
субконтрактация және технологиялар трансфері орталықтары;</w:t>
            </w:r>
          </w:p>
          <w:p>
            <w:pPr>
              <w:spacing w:after="20"/>
              <w:ind w:left="20"/>
              <w:jc w:val="both"/>
            </w:pPr>
            <w:r>
              <w:rPr>
                <w:rFonts w:ascii="Times New Roman"/>
                <w:b w:val="false"/>
                <w:i w:val="false"/>
                <w:color w:val="000000"/>
                <w:sz w:val="20"/>
              </w:rPr>
              <w:t>
шаруашылық жүргізуші субъектілер.</w:t>
            </w:r>
          </w:p>
          <w:p>
            <w:pPr>
              <w:spacing w:after="20"/>
              <w:ind w:left="20"/>
              <w:jc w:val="both"/>
            </w:pPr>
            <w:r>
              <w:rPr>
                <w:rFonts w:ascii="Times New Roman"/>
                <w:b w:val="false"/>
                <w:i w:val="false"/>
                <w:color w:val="000000"/>
                <w:sz w:val="20"/>
              </w:rPr>
              <w:t>
мүше мемлекеттердің өнеркәсіптік кооперация, субконтрактация және технологиялар трансфері саласындағы уәкілетті органдары:</w:t>
            </w:r>
          </w:p>
          <w:p>
            <w:pPr>
              <w:spacing w:after="20"/>
              <w:ind w:left="20"/>
              <w:jc w:val="both"/>
            </w:pPr>
            <w:r>
              <w:rPr>
                <w:rFonts w:ascii="Times New Roman"/>
                <w:b w:val="false"/>
                <w:i w:val="false"/>
                <w:color w:val="000000"/>
                <w:sz w:val="20"/>
              </w:rPr>
              <w:t>
Армения Республикасы – Армения Республикасының Экономика министрлігі</w:t>
            </w:r>
          </w:p>
          <w:p>
            <w:pPr>
              <w:spacing w:after="20"/>
              <w:ind w:left="20"/>
              <w:jc w:val="both"/>
            </w:pPr>
            <w:r>
              <w:rPr>
                <w:rFonts w:ascii="Times New Roman"/>
                <w:b w:val="false"/>
                <w:i w:val="false"/>
                <w:color w:val="000000"/>
                <w:sz w:val="20"/>
              </w:rPr>
              <w:t xml:space="preserve">
Беларусь Республикасы – Беларусь Республикасының Экономика министрлігі; </w:t>
            </w:r>
          </w:p>
          <w:p>
            <w:pPr>
              <w:spacing w:after="20"/>
              <w:ind w:left="20"/>
              <w:jc w:val="both"/>
            </w:pPr>
            <w:r>
              <w:rPr>
                <w:rFonts w:ascii="Times New Roman"/>
                <w:b w:val="false"/>
                <w:i w:val="false"/>
                <w:color w:val="000000"/>
                <w:sz w:val="20"/>
              </w:rPr>
              <w:t>
Қазақстан Республикасы – 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Қырғыз Республикасы – Қырғыз Республикасының Мемлекеттік өнеркәсіп, энергетика және жер қойнауын пайдалану комитеті;</w:t>
            </w:r>
          </w:p>
          <w:p>
            <w:pPr>
              <w:spacing w:after="20"/>
              <w:ind w:left="20"/>
              <w:jc w:val="both"/>
            </w:pPr>
            <w:r>
              <w:rPr>
                <w:rFonts w:ascii="Times New Roman"/>
                <w:b w:val="false"/>
                <w:i w:val="false"/>
                <w:color w:val="000000"/>
                <w:sz w:val="20"/>
              </w:rPr>
              <w:t>
Ресей Федерациясы – Ресей Федерациясының Өнеркәсіп және сауда министрлігі.</w:t>
            </w:r>
          </w:p>
          <w:p>
            <w:pPr>
              <w:spacing w:after="20"/>
              <w:ind w:left="20"/>
              <w:jc w:val="both"/>
            </w:pPr>
            <w:r>
              <w:rPr>
                <w:rFonts w:ascii="Times New Roman"/>
                <w:b w:val="false"/>
                <w:i w:val="false"/>
                <w:color w:val="000000"/>
                <w:sz w:val="20"/>
              </w:rPr>
              <w:t>
Ұлттық компоненттер операторлары:</w:t>
            </w:r>
          </w:p>
          <w:p>
            <w:pPr>
              <w:spacing w:after="20"/>
              <w:ind w:left="20"/>
              <w:jc w:val="both"/>
            </w:pPr>
            <w:r>
              <w:rPr>
                <w:rFonts w:ascii="Times New Roman"/>
                <w:b w:val="false"/>
                <w:i w:val="false"/>
                <w:color w:val="000000"/>
                <w:sz w:val="20"/>
              </w:rPr>
              <w:t>
Армения Республикасы – "Инвестицияларды қолдау орталығы" қоры;</w:t>
            </w:r>
          </w:p>
          <w:p>
            <w:pPr>
              <w:spacing w:after="20"/>
              <w:ind w:left="20"/>
              <w:jc w:val="both"/>
            </w:pPr>
            <w:r>
              <w:rPr>
                <w:rFonts w:ascii="Times New Roman"/>
                <w:b w:val="false"/>
                <w:i w:val="false"/>
                <w:color w:val="000000"/>
                <w:sz w:val="20"/>
              </w:rPr>
              <w:t>
Беларусь Республикасы – Беларусияның Кәсіпкерлерді қаржылай қолдау қоры;</w:t>
            </w:r>
          </w:p>
          <w:p>
            <w:pPr>
              <w:spacing w:after="20"/>
              <w:ind w:left="20"/>
              <w:jc w:val="both"/>
            </w:pPr>
            <w:r>
              <w:rPr>
                <w:rFonts w:ascii="Times New Roman"/>
                <w:b w:val="false"/>
                <w:i w:val="false"/>
                <w:color w:val="000000"/>
                <w:sz w:val="20"/>
              </w:rPr>
              <w:t>
Қазақстан Республикасы – "Қазақстанның индустрия және экспорт орталығы" акционерлік қоғамы;</w:t>
            </w:r>
          </w:p>
          <w:p>
            <w:pPr>
              <w:spacing w:after="20"/>
              <w:ind w:left="20"/>
              <w:jc w:val="both"/>
            </w:pPr>
            <w:r>
              <w:rPr>
                <w:rFonts w:ascii="Times New Roman"/>
                <w:b w:val="false"/>
                <w:i w:val="false"/>
                <w:color w:val="000000"/>
                <w:sz w:val="20"/>
              </w:rPr>
              <w:t>
Қырғыз Республикасы – Қырғыз Республикасы Экономика министрлігінің жанындағы "Сыртқы сауда саласындағы "Жалғыз терезе" орталығы" мемлекеттік кәсіпорны;</w:t>
            </w:r>
          </w:p>
          <w:p>
            <w:pPr>
              <w:spacing w:after="20"/>
              <w:ind w:left="20"/>
              <w:jc w:val="both"/>
            </w:pPr>
            <w:r>
              <w:rPr>
                <w:rFonts w:ascii="Times New Roman"/>
                <w:b w:val="false"/>
                <w:i w:val="false"/>
                <w:color w:val="000000"/>
                <w:sz w:val="20"/>
              </w:rPr>
              <w:t xml:space="preserve">
Ресей Федерациясы – "Ресейдің технологиялық даму қоры" федералдық мемлекеттік автономдық мекемесі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 бойынша ұсынымдар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жүргізу жөніндегі негізгі қызметті жобаны үйлестіру жөніндегі жұмыс тобы (бұдан әрі – үйлестіру тобы) желі операторымен өзара іс-қимыл жасай отырып жүзеге асырады. </w:t>
            </w:r>
          </w:p>
          <w:p>
            <w:pPr>
              <w:spacing w:after="20"/>
              <w:ind w:left="20"/>
              <w:jc w:val="both"/>
            </w:pPr>
            <w:r>
              <w:rPr>
                <w:rFonts w:ascii="Times New Roman"/>
                <w:b w:val="false"/>
                <w:i w:val="false"/>
                <w:color w:val="000000"/>
                <w:sz w:val="20"/>
              </w:rPr>
              <w:t>Мониторинг барысында мына есептер жасалады:</w:t>
            </w:r>
          </w:p>
          <w:p>
            <w:pPr>
              <w:spacing w:after="20"/>
              <w:ind w:left="20"/>
              <w:jc w:val="both"/>
            </w:pPr>
            <w:r>
              <w:rPr>
                <w:rFonts w:ascii="Times New Roman"/>
                <w:b w:val="false"/>
                <w:i w:val="false"/>
                <w:color w:val="000000"/>
                <w:sz w:val="20"/>
              </w:rPr>
              <w:t>
Одақ органдарына ұсынылатын тоқсан сайынғы есептілік;</w:t>
            </w:r>
          </w:p>
          <w:p>
            <w:pPr>
              <w:spacing w:after="20"/>
              <w:ind w:left="20"/>
              <w:jc w:val="both"/>
            </w:pPr>
            <w:r>
              <w:rPr>
                <w:rFonts w:ascii="Times New Roman"/>
                <w:b w:val="false"/>
                <w:i w:val="false"/>
                <w:color w:val="000000"/>
                <w:sz w:val="20"/>
              </w:rPr>
              <w:t>
жоспарланған нәтижелерге қол жеткізілуі бағаланған, жобаны іске асыру туралы қорытынды есеп;</w:t>
            </w:r>
          </w:p>
          <w:p>
            <w:pPr>
              <w:spacing w:after="20"/>
              <w:ind w:left="20"/>
              <w:jc w:val="both"/>
            </w:pPr>
            <w:r>
              <w:rPr>
                <w:rFonts w:ascii="Times New Roman"/>
                <w:b w:val="false"/>
                <w:i w:val="false"/>
                <w:color w:val="000000"/>
                <w:sz w:val="20"/>
              </w:rPr>
              <w:t>
үйлестіру тобының сұрау салулары бойынша есептер;</w:t>
            </w:r>
          </w:p>
          <w:p>
            <w:pPr>
              <w:spacing w:after="20"/>
              <w:ind w:left="20"/>
              <w:jc w:val="both"/>
            </w:pPr>
            <w:r>
              <w:rPr>
                <w:rFonts w:ascii="Times New Roman"/>
                <w:b w:val="false"/>
                <w:i w:val="false"/>
                <w:color w:val="000000"/>
                <w:sz w:val="20"/>
              </w:rPr>
              <w:t xml:space="preserve">
ұлттық компоненттер мен сервис-провайдерлер операторларының желі операторына берілетін есептілігі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Меншік құқығы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және интеграциялық компоненттерінің құқық иеленушісі Комиссия болып табылады.</w:t>
            </w:r>
          </w:p>
          <w:p>
            <w:pPr>
              <w:spacing w:after="20"/>
              <w:ind w:left="20"/>
              <w:jc w:val="both"/>
            </w:pPr>
            <w:r>
              <w:rPr>
                <w:rFonts w:ascii="Times New Roman"/>
                <w:b w:val="false"/>
                <w:i w:val="false"/>
                <w:color w:val="000000"/>
                <w:sz w:val="20"/>
              </w:rPr>
              <w:t>
Ұлттық компоненттерге құқықтарды регламенттеу мүше мемлекеттердің құзырында болады.  Сервистерге құқықтар сервис-провайдерлерге тиесілі.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Қаржыландыру көздері мен көлемдері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көздерден жобаны қаржыландыру көзделген (мемлекеттік-жекешелік әріптестік тетіктері пайдаланыла отырып):</w:t>
            </w:r>
          </w:p>
          <w:p>
            <w:pPr>
              <w:spacing w:after="20"/>
              <w:ind w:left="20"/>
              <w:jc w:val="both"/>
            </w:pPr>
            <w:r>
              <w:rPr>
                <w:rFonts w:ascii="Times New Roman"/>
                <w:b w:val="false"/>
                <w:i w:val="false"/>
                <w:color w:val="000000"/>
                <w:sz w:val="20"/>
              </w:rPr>
              <w:t>
Одақтың интеграцияландырылған ақпараттық жүйесін құруға, оның жұмыс істеуі мен дамуын қамтамасыз етуге көзделген Одақ бюджетінің қаражаты (Комиссия іске асыратын іс-шаралар бөлігінде), Одақтың цифрлық күн тәртібін іске асыруға арналған шығыстар шеңберінде 150,80 млн рубльге дейінгі көлемде: 2020 жылы – 95,94 млн рубльге дейін, 2021 жылы – 54,86 млн рубльге дейін;</w:t>
            </w:r>
          </w:p>
          <w:p>
            <w:pPr>
              <w:spacing w:after="20"/>
              <w:ind w:left="20"/>
              <w:jc w:val="both"/>
            </w:pPr>
            <w:r>
              <w:rPr>
                <w:rFonts w:ascii="Times New Roman"/>
                <w:b w:val="false"/>
                <w:i w:val="false"/>
                <w:color w:val="000000"/>
                <w:sz w:val="20"/>
              </w:rPr>
              <w:t xml:space="preserve">
мүше мемлекеттер бюджеттерінің және (немесе) мүше мемлекеттер заңнамасына сәйкес тартылатын өзге де қаржыландыру көздерінің қаражаты – 65,19 млн рубльге дейін (шамамен); </w:t>
            </w:r>
          </w:p>
          <w:p>
            <w:pPr>
              <w:spacing w:after="20"/>
              <w:ind w:left="20"/>
              <w:jc w:val="both"/>
            </w:pPr>
            <w:r>
              <w:rPr>
                <w:rFonts w:ascii="Times New Roman"/>
                <w:b w:val="false"/>
                <w:i w:val="false"/>
                <w:color w:val="000000"/>
                <w:sz w:val="20"/>
              </w:rPr>
              <w:t>
сервис-провайдерлердің қаражаты – 372,00 млн рубль (шамамен).</w:t>
            </w:r>
          </w:p>
          <w:p>
            <w:pPr>
              <w:spacing w:after="20"/>
              <w:ind w:left="20"/>
              <w:jc w:val="both"/>
            </w:pPr>
            <w:r>
              <w:rPr>
                <w:rFonts w:ascii="Times New Roman"/>
                <w:b w:val="false"/>
                <w:i w:val="false"/>
                <w:color w:val="000000"/>
                <w:sz w:val="20"/>
              </w:rPr>
              <w:t xml:space="preserve">
Қаржылық үлгіге жобаны іске асыру жөніндегі іс-шаралардың жоғары деңгейдегі жоспарының негізгі іс-шараларын іске асыру кірген, оның ішінде: </w:t>
            </w:r>
          </w:p>
          <w:p>
            <w:pPr>
              <w:spacing w:after="20"/>
              <w:ind w:left="20"/>
              <w:jc w:val="both"/>
            </w:pPr>
            <w:r>
              <w:rPr>
                <w:rFonts w:ascii="Times New Roman"/>
                <w:b w:val="false"/>
                <w:i w:val="false"/>
                <w:color w:val="000000"/>
                <w:sz w:val="20"/>
              </w:rPr>
              <w:t xml:space="preserve">
пайдаланушылардың сервистерін құру мен қосу бойынша әмбебап платформалық шешім болып табылатын еуразиялық желінің базалық компонентін құру (70,00 млн рубльге дейін). </w:t>
            </w:r>
          </w:p>
          <w:p>
            <w:pPr>
              <w:spacing w:after="20"/>
              <w:ind w:left="20"/>
              <w:jc w:val="both"/>
            </w:pPr>
            <w:r>
              <w:rPr>
                <w:rFonts w:ascii="Times New Roman"/>
                <w:b w:val="false"/>
                <w:i w:val="false"/>
                <w:color w:val="000000"/>
                <w:sz w:val="20"/>
              </w:rPr>
              <w:t>Мүше мемлекеттің сұрау салуы бойынша еуразиялық желінің базалық компоненті  толыққанды жұмыс істейтін ұлттық компонент ретінде қосу үшін  лицензиялық келісім бойынша мүше мемлекетке қайтарымсыз негізде  берілуі мүмкін;</w:t>
            </w:r>
          </w:p>
          <w:p>
            <w:pPr>
              <w:spacing w:after="20"/>
              <w:ind w:left="20"/>
              <w:jc w:val="both"/>
            </w:pPr>
            <w:r>
              <w:rPr>
                <w:rFonts w:ascii="Times New Roman"/>
                <w:b w:val="false"/>
                <w:i w:val="false"/>
                <w:color w:val="000000"/>
                <w:sz w:val="20"/>
              </w:rPr>
              <w:t xml:space="preserve">
Комиссияның жалпы сервистері мен еуразиялық желі компоненттерінің өзара іс-қимыл жасауын қамтамасыз ететін инфрақұрылымдық сервистерді қамтитын интеграциялық компонент құру </w:t>
            </w:r>
          </w:p>
          <w:p>
            <w:pPr>
              <w:spacing w:after="20"/>
              <w:ind w:left="20"/>
              <w:jc w:val="both"/>
            </w:pPr>
            <w:r>
              <w:rPr>
                <w:rFonts w:ascii="Times New Roman"/>
                <w:b w:val="false"/>
                <w:i w:val="false"/>
                <w:color w:val="000000"/>
                <w:sz w:val="20"/>
              </w:rPr>
              <w:t xml:space="preserve">(50,52 млн рубльге дейін); </w:t>
            </w:r>
          </w:p>
          <w:p>
            <w:pPr>
              <w:spacing w:after="20"/>
              <w:ind w:left="20"/>
              <w:jc w:val="both"/>
            </w:pPr>
            <w:r>
              <w:rPr>
                <w:rFonts w:ascii="Times New Roman"/>
                <w:b w:val="false"/>
                <w:i w:val="false"/>
                <w:color w:val="000000"/>
                <w:sz w:val="20"/>
              </w:rPr>
              <w:t xml:space="preserve">
ұлттық компоненттерді қосу (30,28 млн рубльге дейін: Армения Республикасының, Беларусь Республикасының, Қазақстан Республикасының және Қырғыз Республикасының ұлттық компоненттерін қосу үшін 7,57 млн рубльден). </w:t>
            </w:r>
          </w:p>
          <w:p>
            <w:pPr>
              <w:spacing w:after="20"/>
              <w:ind w:left="20"/>
              <w:jc w:val="both"/>
            </w:pPr>
            <w:r>
              <w:rPr>
                <w:rFonts w:ascii="Times New Roman"/>
                <w:b w:val="false"/>
                <w:i w:val="false"/>
                <w:color w:val="000000"/>
                <w:sz w:val="20"/>
              </w:rPr>
              <w:t>
мүше мемлекеттер бюджеттерінің және (немесе) мүше мемлекеттер заңнамасына сәйкес тартылатын өзге де қаржыландыру көздерінің қаражаты (65,19 млн рубльге дейін) қазір жұмыс істеп тұрған және құрылатын ұлттық компоненттер сервистерін дамытуға және  еуразиялық желіге қосуға, оның ішінде мүше мемлекеттер бойынша (рубльмен баламада бағалауға сәйкес):</w:t>
            </w:r>
          </w:p>
          <w:p>
            <w:pPr>
              <w:spacing w:after="20"/>
              <w:ind w:left="20"/>
              <w:jc w:val="both"/>
            </w:pPr>
            <w:r>
              <w:rPr>
                <w:rFonts w:ascii="Times New Roman"/>
                <w:b w:val="false"/>
                <w:i w:val="false"/>
                <w:color w:val="000000"/>
                <w:sz w:val="20"/>
              </w:rPr>
              <w:t>
Армения Республикасы – 7,63 млн рубльге дейін (шамамен);</w:t>
            </w:r>
          </w:p>
          <w:p>
            <w:pPr>
              <w:spacing w:after="20"/>
              <w:ind w:left="20"/>
              <w:jc w:val="both"/>
            </w:pPr>
            <w:r>
              <w:rPr>
                <w:rFonts w:ascii="Times New Roman"/>
                <w:b w:val="false"/>
                <w:i w:val="false"/>
                <w:color w:val="000000"/>
                <w:sz w:val="20"/>
              </w:rPr>
              <w:t>
Беларусь Республикасы – 21,87 млн рубльге дейін (шамамен);</w:t>
            </w:r>
          </w:p>
          <w:p>
            <w:pPr>
              <w:spacing w:after="20"/>
              <w:ind w:left="20"/>
              <w:jc w:val="both"/>
            </w:pPr>
            <w:r>
              <w:rPr>
                <w:rFonts w:ascii="Times New Roman"/>
                <w:b w:val="false"/>
                <w:i w:val="false"/>
                <w:color w:val="000000"/>
                <w:sz w:val="20"/>
              </w:rPr>
              <w:t>
Қазақстан Республикасы – 8,00 млн рубльге дейін (шамамен);</w:t>
            </w:r>
          </w:p>
          <w:p>
            <w:pPr>
              <w:spacing w:after="20"/>
              <w:ind w:left="20"/>
              <w:jc w:val="both"/>
            </w:pPr>
            <w:r>
              <w:rPr>
                <w:rFonts w:ascii="Times New Roman"/>
                <w:b w:val="false"/>
                <w:i w:val="false"/>
                <w:color w:val="000000"/>
                <w:sz w:val="20"/>
              </w:rPr>
              <w:t>
Қырғыз Республикасы – 4,73 млн рубльге дейін (шамамен);</w:t>
            </w:r>
          </w:p>
          <w:p>
            <w:pPr>
              <w:spacing w:after="20"/>
              <w:ind w:left="20"/>
              <w:jc w:val="both"/>
            </w:pPr>
            <w:r>
              <w:rPr>
                <w:rFonts w:ascii="Times New Roman"/>
                <w:b w:val="false"/>
                <w:i w:val="false"/>
                <w:color w:val="000000"/>
                <w:sz w:val="20"/>
              </w:rPr>
              <w:t xml:space="preserve">
Ресей Федерациясы –  22,96 млн рубльге дейін (шамамен).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Ұлттық деңгейде қаржыландырудың орындылығы, көлемдері мен мерзімдері туралы шешімдерді мүше мемлекеттер өз заңнамасына сәйкес қабылдайды.</w:t>
            </w:r>
          </w:p>
          <w:p>
            <w:pPr>
              <w:spacing w:after="20"/>
              <w:ind w:left="20"/>
              <w:jc w:val="both"/>
            </w:pPr>
            <w:r>
              <w:rPr>
                <w:rFonts w:ascii="Times New Roman"/>
                <w:b w:val="false"/>
                <w:i w:val="false"/>
                <w:color w:val="000000"/>
                <w:sz w:val="20"/>
              </w:rPr>
              <w:t>
Сервис-провайдерлердің ұлттық компоненттердің коммерциялық сервистерін дамытуға және оларды еуразиялық желіге интеграциялауға арналған қаражаты, сондай-ақ еуразиялық желіге қатысушылар арасында операциялар жасауға арналған сауда алаңдарының жұмыс істеп тұруын қамтамасыз етуге арналған қаражаты – 372,00 млн рубль (шамамен)".</w:t>
            </w:r>
          </w:p>
        </w:tc>
      </w:tr>
    </w:tbl>
    <w:p>
      <w:pPr>
        <w:spacing w:after="0"/>
        <w:ind w:left="0"/>
        <w:jc w:val="both"/>
      </w:pPr>
      <w:r>
        <w:rPr>
          <w:rFonts w:ascii="Times New Roman"/>
          <w:b w:val="false"/>
          <w:i w:val="false"/>
          <w:color w:val="000000"/>
          <w:sz w:val="28"/>
        </w:rPr>
        <w:t>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