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6f75a" w14:textId="f16f7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үкіметаралық кеңестің 2018 жылғы 27 шілдедегі № 8 тапсырмасын және Еуразиялық экономикалық комиссия Кеңесінің 2019 жылғы 18 қарашадағы № 37 өкімін Еуразиялық экономикалық одаққа мүше мемлекеттердің орындау барысы туралы</w:t>
      </w:r>
    </w:p>
    <w:p>
      <w:pPr>
        <w:spacing w:after="0"/>
        <w:ind w:left="0"/>
        <w:jc w:val="both"/>
      </w:pPr>
      <w:r>
        <w:rPr>
          <w:rFonts w:ascii="Times New Roman"/>
          <w:b w:val="false"/>
          <w:i w:val="false"/>
          <w:color w:val="000000"/>
          <w:sz w:val="28"/>
        </w:rPr>
        <w:t>Еуразиялық экономикалық комиссия Кеңесінің 2020 жылғы 30 қазандағы № 23 өкімі</w:t>
      </w:r>
    </w:p>
    <w:p>
      <w:pPr>
        <w:spacing w:after="0"/>
        <w:ind w:left="0"/>
        <w:jc w:val="both"/>
      </w:pPr>
      <w:bookmarkStart w:name="z0" w:id="0"/>
      <w:r>
        <w:rPr>
          <w:rFonts w:ascii="Times New Roman"/>
          <w:b w:val="false"/>
          <w:i w:val="false"/>
          <w:color w:val="000000"/>
          <w:sz w:val="28"/>
        </w:rPr>
        <w:t xml:space="preserve">
      Еуразиялық экономикалық комиссия Алқасының 2018 жылғы 10 мамырдағы № 74 </w:t>
      </w:r>
      <w:r>
        <w:rPr>
          <w:rFonts w:ascii="Times New Roman"/>
          <w:b w:val="false"/>
          <w:i w:val="false"/>
          <w:color w:val="000000"/>
          <w:sz w:val="28"/>
        </w:rPr>
        <w:t>шешіміне</w:t>
      </w:r>
      <w:r>
        <w:rPr>
          <w:rFonts w:ascii="Times New Roman"/>
          <w:b w:val="false"/>
          <w:i w:val="false"/>
          <w:color w:val="000000"/>
          <w:sz w:val="28"/>
        </w:rPr>
        <w:t xml:space="preserve"> сәйкес Одақтың техникалық регламенттерінің талаптарына сәйкес келмейтін өнім туралы хабардар ету жүйесін қалыптастыру бойынша пилоттық жобаны (бұдан әрі тиісінше – пилоттық жоба, хабардар ету жүйесі) іске асыруды көздейтін Еуразиялық үкіметаралық кеңестің 2018 жылғы 27 шілдедегі № 8 тапсырмасы мен Еуразиялық экономикалық комиссия Кеңесінің 2019 жылғы 18 қарашадағы № 37 </w:t>
      </w:r>
      <w:r>
        <w:rPr>
          <w:rFonts w:ascii="Times New Roman"/>
          <w:b w:val="false"/>
          <w:i w:val="false"/>
          <w:color w:val="000000"/>
          <w:sz w:val="28"/>
        </w:rPr>
        <w:t>өкімін</w:t>
      </w:r>
      <w:r>
        <w:rPr>
          <w:rFonts w:ascii="Times New Roman"/>
          <w:b w:val="false"/>
          <w:i w:val="false"/>
          <w:color w:val="000000"/>
          <w:sz w:val="28"/>
        </w:rPr>
        <w:t xml:space="preserve"> Еуразиялық экономикалық одаққа мүше мемлекеттердің (бұдан әрі тиісінше – мүше мемлекеттер, Одақ) орындау барысы туралы ақпаратты ескере отырып:</w:t>
      </w:r>
    </w:p>
    <w:bookmarkEnd w:id="0"/>
    <w:bookmarkStart w:name="z1" w:id="1"/>
    <w:p>
      <w:pPr>
        <w:spacing w:after="0"/>
        <w:ind w:left="0"/>
        <w:jc w:val="both"/>
      </w:pPr>
      <w:r>
        <w:rPr>
          <w:rFonts w:ascii="Times New Roman"/>
          <w:b w:val="false"/>
          <w:i w:val="false"/>
          <w:color w:val="000000"/>
          <w:sz w:val="28"/>
        </w:rPr>
        <w:t xml:space="preserve">
      1. Мүше мемлекеттердің үкіметтерінен: </w:t>
      </w:r>
    </w:p>
    <w:bookmarkEnd w:id="1"/>
    <w:bookmarkStart w:name="z2" w:id="2"/>
    <w:p>
      <w:pPr>
        <w:spacing w:after="0"/>
        <w:ind w:left="0"/>
        <w:jc w:val="both"/>
      </w:pPr>
      <w:r>
        <w:rPr>
          <w:rFonts w:ascii="Times New Roman"/>
          <w:b w:val="false"/>
          <w:i w:val="false"/>
          <w:color w:val="000000"/>
          <w:sz w:val="28"/>
        </w:rPr>
        <w:t>
      а) Кеден одағы Комиссиясының 2011 жылғы 16 тамыздағы № 768 шешімімен қабылданған "Төмен вольтті жабдықтың қауіпсіздігі туралы" (КО ТР 004/2011), Кеден одағы Комиссиясының 2011 жылғы 23 қыркүйектегі         № 797 шешімімен қабылданған "Балалар мен жасөспірімдерге арналған өнімнің қауіпсіздігі туралы"  (КО ТР 007/2011), Кеден одағы Комиссиясының 2011 жылғы 23 қыркүйектегі № 798 шешімімен қабылданған "Ойыншықтардың қауіпсіздігі туралы" (КО ТР 008/2011), Кеден одағы Комиссиясының 2011 жылғы 9 желтоқсандағы № 877 шешімімен қабылданған "Доңғалақты көлік құралдарының қауіпсіздігі туралы" (КО ТР 018/2011), Еуразиялық экономикалық комиссия Кеңесінің 2013 жылғы 9 қазандағы № 67 шешімімен қабылданған "Сүт және сүт өнімдерінің қауіпсіздігі туралы" (КО ТР 033/2013), Еуразиялық экономикалық комиссия Кеңесінің 2013 жылғы 9 қазандағы № 68 шешімімен қабылданған "Ет және ет өнімдерінің қауіпсіздігі туралы" (КО ТР 034/2013) Кеден одағының техникалық регламенттері бойынша пилоттық жобаны іске асыруды 2021 жылғы 1 шілдеге дейін аяқтауды;</w:t>
      </w:r>
    </w:p>
    <w:bookmarkEnd w:id="2"/>
    <w:bookmarkStart w:name="z3" w:id="3"/>
    <w:p>
      <w:pPr>
        <w:spacing w:after="0"/>
        <w:ind w:left="0"/>
        <w:jc w:val="both"/>
      </w:pPr>
      <w:r>
        <w:rPr>
          <w:rFonts w:ascii="Times New Roman"/>
          <w:b w:val="false"/>
          <w:i w:val="false"/>
          <w:color w:val="000000"/>
          <w:sz w:val="28"/>
        </w:rPr>
        <w:t>
      б) Одақ шеңберінде "Қауіпті өнім туралы хабардар ету жүйесін қалыптастыру, жүргізу және пайдалану" жалпы процесін іске асыру басталғанға дейін Одақтың интеграцияланған ақпараттық жүйесінің өнімді контурында хабардар ету жүйесінің ұлттық компоненттерінің жұмыс істеуін қамтамасыз ету сұралсын.</w:t>
      </w:r>
    </w:p>
    <w:bookmarkEnd w:id="3"/>
    <w:bookmarkStart w:name="z4" w:id="4"/>
    <w:p>
      <w:pPr>
        <w:spacing w:after="0"/>
        <w:ind w:left="0"/>
        <w:jc w:val="both"/>
      </w:pPr>
      <w:r>
        <w:rPr>
          <w:rFonts w:ascii="Times New Roman"/>
          <w:b w:val="false"/>
          <w:i w:val="false"/>
          <w:color w:val="000000"/>
          <w:sz w:val="28"/>
        </w:rPr>
        <w:t>
      2. Мүше мемлекеттердің үкіметтерінен мүше мемлекеттердің осы Өкімнің 1-тармағының "а" тармақшасында көрсетілген техникалық регламенттердің талаптарының сақталуына мемлекеттік бақылауды (қадағалауды) жүзеге асыруға уәкілетті органдарының 2021 жылғы 1 шілдеден бастап хабардар ету жүйесіне енгізілген ақпарат негізінде техникалық регламенттердің талаптарына сәйкес келмейтін өнімге қатысты мүше мемлекеттердің заңнамасында көзделген шараларды қабылдауын қамтамасыз ету  сұралсын.</w:t>
      </w:r>
    </w:p>
    <w:bookmarkEnd w:id="4"/>
    <w:p>
      <w:pPr>
        <w:spacing w:after="0"/>
        <w:ind w:left="0"/>
        <w:jc w:val="both"/>
      </w:pPr>
      <w:r>
        <w:rPr>
          <w:rFonts w:ascii="Times New Roman"/>
          <w:b w:val="false"/>
          <w:i w:val="false"/>
          <w:color w:val="000000"/>
          <w:sz w:val="28"/>
        </w:rPr>
        <w:t xml:space="preserve">
      Мүше мемлекеттердің уәкілетті органдарының өзара бір-бірімен, сондай-ақ Еуразиялық экономикалық комиссиямен (бұдан әрі – Комиссия) өзара іс-қимылы Еуразиялық экономикалық комиссия Алқасының 2018 жылғы 12 қарашадағы № 182 </w:t>
      </w:r>
      <w:r>
        <w:rPr>
          <w:rFonts w:ascii="Times New Roman"/>
          <w:b w:val="false"/>
          <w:i w:val="false"/>
          <w:color w:val="000000"/>
          <w:sz w:val="28"/>
        </w:rPr>
        <w:t>шешіміне</w:t>
      </w:r>
      <w:r>
        <w:rPr>
          <w:rFonts w:ascii="Times New Roman"/>
          <w:b w:val="false"/>
          <w:i w:val="false"/>
          <w:color w:val="000000"/>
          <w:sz w:val="28"/>
        </w:rPr>
        <w:t xml:space="preserve"> сәйкес жүзеге асырылсын.</w:t>
      </w:r>
    </w:p>
    <w:bookmarkStart w:name="z5" w:id="5"/>
    <w:p>
      <w:pPr>
        <w:spacing w:after="0"/>
        <w:ind w:left="0"/>
        <w:jc w:val="both"/>
      </w:pPr>
      <w:r>
        <w:rPr>
          <w:rFonts w:ascii="Times New Roman"/>
          <w:b w:val="false"/>
          <w:i w:val="false"/>
          <w:color w:val="000000"/>
          <w:sz w:val="28"/>
        </w:rPr>
        <w:t>
      3. Комиссия Алқасы:</w:t>
      </w:r>
    </w:p>
    <w:bookmarkEnd w:id="5"/>
    <w:p>
      <w:pPr>
        <w:spacing w:after="0"/>
        <w:ind w:left="0"/>
        <w:jc w:val="both"/>
      </w:pPr>
      <w:r>
        <w:rPr>
          <w:rFonts w:ascii="Times New Roman"/>
          <w:b w:val="false"/>
          <w:i w:val="false"/>
          <w:color w:val="000000"/>
          <w:sz w:val="28"/>
        </w:rPr>
        <w:t>
      Одақ шеңберінде "Қауіпті өнім туралы хабардар ету жүйесін қалыптастыру, жүргізу және пайдалану" жалпы процесін іске асыру кезінде пилоттық жобаның нәтижелерін пайдалансын;</w:t>
      </w:r>
    </w:p>
    <w:p>
      <w:pPr>
        <w:spacing w:after="0"/>
        <w:ind w:left="0"/>
        <w:jc w:val="both"/>
      </w:pPr>
      <w:r>
        <w:rPr>
          <w:rFonts w:ascii="Times New Roman"/>
          <w:b w:val="false"/>
          <w:i w:val="false"/>
          <w:color w:val="000000"/>
          <w:sz w:val="28"/>
        </w:rPr>
        <w:t>
      осы Өкімнің орындалуы туралы Комиссия Кеңесін хабардар етсін.</w:t>
      </w:r>
    </w:p>
    <w:bookmarkStart w:name="z6" w:id="6"/>
    <w:p>
      <w:pPr>
        <w:spacing w:after="0"/>
        <w:ind w:left="0"/>
        <w:jc w:val="both"/>
      </w:pPr>
      <w:r>
        <w:rPr>
          <w:rFonts w:ascii="Times New Roman"/>
          <w:b w:val="false"/>
          <w:i w:val="false"/>
          <w:color w:val="000000"/>
          <w:sz w:val="28"/>
        </w:rPr>
        <w:t>
      4. Осы Өкім Одақтың ресми сайтында жарияланған күнінен бастап күшіне енеді.</w:t>
      </w:r>
    </w:p>
    <w:bookmarkEnd w:id="6"/>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 xml:space="preserve">      Қазақстан    </w:t>
      </w:r>
      <w:r>
        <w:rPr>
          <w:rFonts w:ascii="Times New Roman"/>
          <w:b w:val="false"/>
          <w:i w:val="false"/>
          <w:color w:val="000000"/>
          <w:sz w:val="28"/>
        </w:rPr>
        <w:t xml:space="preserve">      </w:t>
      </w:r>
      <w:r>
        <w:rPr>
          <w:rFonts w:ascii="Times New Roman"/>
          <w:b w:val="false"/>
          <w:i/>
          <w:color w:val="000000"/>
          <w:sz w:val="28"/>
        </w:rPr>
        <w:t xml:space="preserve">      Қырғыз    </w:t>
      </w:r>
      <w:r>
        <w:rPr>
          <w:rFonts w:ascii="Times New Roman"/>
          <w:b w:val="false"/>
          <w:i w:val="false"/>
          <w:color w:val="000000"/>
          <w:sz w:val="28"/>
        </w:rPr>
        <w:t xml:space="preserve">         </w:t>
      </w:r>
      <w:r>
        <w:rPr>
          <w:rFonts w:ascii="Times New Roman"/>
          <w:b w:val="false"/>
          <w:i/>
          <w:color w:val="000000"/>
          <w:sz w:val="28"/>
        </w:rPr>
        <w:t xml:space="preserve">     Ресей</w:t>
      </w:r>
    </w:p>
    <w:p>
      <w:pPr>
        <w:spacing w:after="0"/>
        <w:ind w:left="0"/>
        <w:jc w:val="both"/>
      </w:pPr>
      <w:r>
        <w:rPr>
          <w:rFonts w:ascii="Times New Roman"/>
          <w:b w:val="false"/>
          <w:i/>
          <w:color w:val="000000"/>
          <w:sz w:val="28"/>
        </w:rPr>
        <w:t xml:space="preserve">Республикасынан  Республикасынан  Республикасынан  Республикасынан </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color w:val="000000"/>
          <w:sz w:val="28"/>
        </w:rPr>
        <w:t>.Гри</w:t>
      </w:r>
      <w:r>
        <w:rPr>
          <w:rFonts w:ascii="Times New Roman"/>
          <w:b w:val="false"/>
          <w:i/>
          <w:color w:val="000000"/>
          <w:sz w:val="28"/>
        </w:rPr>
        <w:t>гор</w:t>
      </w:r>
      <w:r>
        <w:rPr>
          <w:rFonts w:ascii="Times New Roman"/>
          <w:b w:val="false"/>
          <w:i/>
          <w:color w:val="000000"/>
          <w:sz w:val="28"/>
        </w:rPr>
        <w:t xml:space="preserve">ян  </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color w:val="000000"/>
          <w:sz w:val="28"/>
        </w:rPr>
        <w:t>.</w:t>
      </w:r>
      <w:r>
        <w:rPr>
          <w:rFonts w:ascii="Times New Roman"/>
          <w:b w:val="false"/>
          <w:i/>
          <w:color w:val="000000"/>
          <w:sz w:val="28"/>
        </w:rPr>
        <w:t>Петришенко</w:t>
      </w:r>
      <w:r>
        <w:rPr>
          <w:rFonts w:ascii="Times New Roman"/>
          <w:b w:val="false"/>
          <w:i w:val="false"/>
          <w:color w:val="000000"/>
          <w:sz w:val="28"/>
        </w:rPr>
        <w:t xml:space="preserve">         </w:t>
      </w:r>
      <w:r>
        <w:rPr>
          <w:rFonts w:ascii="Times New Roman"/>
          <w:b w:val="false"/>
          <w:i/>
          <w:color w:val="000000"/>
          <w:sz w:val="28"/>
        </w:rPr>
        <w:t xml:space="preserve"> А</w:t>
      </w:r>
      <w:r>
        <w:rPr>
          <w:rFonts w:ascii="Times New Roman"/>
          <w:b w:val="false"/>
          <w:i/>
          <w:color w:val="000000"/>
          <w:sz w:val="28"/>
        </w:rPr>
        <w:t>.</w:t>
      </w:r>
      <w:r>
        <w:rPr>
          <w:rFonts w:ascii="Times New Roman"/>
          <w:b w:val="false"/>
          <w:i/>
          <w:color w:val="000000"/>
          <w:sz w:val="28"/>
        </w:rPr>
        <w:t>Смаилов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Новиков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Оверчук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