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115d" w14:textId="e321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регламенттерін әзірлеу және Кеден одағының техникалық регламенттеріне өзгерістер енгізу жоспарының ІІ бөліміне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16 наурыздағы № 25 шешімі.</w:t>
      </w:r>
    </w:p>
    <w:p>
      <w:pPr>
        <w:spacing w:after="0"/>
        <w:ind w:left="0"/>
        <w:jc w:val="left"/>
      </w:pPr>
    </w:p>
    <w:bookmarkStart w:name="z3" w:id="0"/>
    <w:p>
      <w:pPr>
        <w:spacing w:after="0"/>
        <w:ind w:left="0"/>
        <w:jc w:val="both"/>
      </w:pPr>
      <w:r>
        <w:rPr>
          <w:rFonts w:ascii="Times New Roman"/>
          <w:b w:val="false"/>
          <w:i w:val="false"/>
          <w:color w:val="000000"/>
          <w:sz w:val="28"/>
        </w:rPr>
        <w:t xml:space="preserve">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және олардың күшін жою тәртібінің 3-тармағына,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 xml:space="preserve">3-тармағына </w:t>
      </w:r>
      <w:r>
        <w:rPr>
          <w:rFonts w:ascii="Times New Roman"/>
          <w:b w:val="false"/>
          <w:i w:val="false"/>
          <w:color w:val="000000"/>
          <w:sz w:val="28"/>
        </w:rPr>
        <w:t>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31-тармағына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2014 жылғы 1 қазандағы № 79 шешімімен бекітілген Еуразиялық экономикалық одақтың техникалық регламенттерін әзірлеу және Кеден одағының техникалық регламенттеріне өзгерістер енгізу жоспарының II бөлімі мынадай мазмұндағы 45-позициямен толықтырылсын: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Электр техникасы мен радиоэлектроника бұйымдарында қауіпті заттардың қолданылуын шектеу туралы (ЕАЭО ТР 037/2016) (техникалық регламенттің (өлшеу құралдарын, химиялық ток көздерін және ерекше жағдайларды көрсете отырып, жалпы ашық қолдану саласын) қолдану саласын кеңейту, қауіпті заттардың бақыланатын номенклатурасы бойынша талаптарды өзектілендіру және олардың электр техникасы мен радиоэлектроника бұйымдарының құрамында болуын шектеу, тұтынушылық қасиеттерін жоғалтқан электр техникасы мен радиоэлектроника бұйымдарын кәдеге жарату жөніндегі талаптарды қосу бөлігіндегі № 1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w:t>
            </w: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Кеңесінің </w:t>
      </w:r>
      <w:r>
        <w:rPr>
          <w:rFonts w:ascii="Times New Roman"/>
          <w:b/>
          <w:i w:val="false"/>
          <w:color w:val="000000"/>
          <w:sz w:val="28"/>
        </w:rPr>
        <w:t>мүшелері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Петришенко</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 </w:t>
            </w:r>
            <w:r>
              <w:rPr>
                <w:rFonts w:ascii="Times New Roman"/>
                <w:b/>
                <w:i w:val="false"/>
                <w:color w:val="000000"/>
                <w:sz w:val="20"/>
              </w:rPr>
              <w:t>Смайылов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 </w:t>
            </w:r>
            <w:r>
              <w:rPr>
                <w:rFonts w:ascii="Times New Roman"/>
                <w:b/>
                <w:i w:val="false"/>
                <w:color w:val="000000"/>
                <w:sz w:val="20"/>
              </w:rPr>
              <w:t>Асрандиев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