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85f8" w14:textId="10c8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Украинада шығарылатын және Еуразиялық экономикалық одақтың кедендік аумағына әкелінетін, коррозияға төзімді (тоттанбайтын) болаттан жасалған жіксіз құбырларға қатысты демпингке қарсы шараның қолданылуын ұзарту туралы</w:t>
      </w:r>
    </w:p>
    <w:p>
      <w:pPr>
        <w:spacing w:after="0"/>
        <w:ind w:left="0"/>
        <w:jc w:val="both"/>
      </w:pPr>
      <w:r>
        <w:rPr>
          <w:rFonts w:ascii="Times New Roman"/>
          <w:b w:val="false"/>
          <w:i w:val="false"/>
          <w:color w:val="000000"/>
          <w:sz w:val="28"/>
        </w:rPr>
        <w:t>Еуразиялық экономикалық комиссия Алқасының 2020 жылғы 30 желтоқсандағы № 185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109-тармағының</w:t>
      </w:r>
      <w:r>
        <w:rPr>
          <w:rFonts w:ascii="Times New Roman"/>
          <w:b w:val="false"/>
          <w:i w:val="false"/>
          <w:color w:val="000000"/>
          <w:sz w:val="28"/>
        </w:rPr>
        <w:t xml:space="preserve"> бесінші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"Украинада шығарылатын және Еуразиялық экономикалық одақтың кедендік аумағына әкелінетін, коррозияға төзімді (тоттанбайтын) болаттан жасалған жіксіз құбырларға қатысты демпингке қарсы баж енгізу арқылы демпингке қарсы шара қолдану туралы" Еуразиялық экономикалық комиссия Алқасының 2016 жылғы 26 қаңтардағы № 6 </w:t>
      </w:r>
      <w:r>
        <w:rPr>
          <w:rFonts w:ascii="Times New Roman"/>
          <w:b w:val="false"/>
          <w:i w:val="false"/>
          <w:color w:val="000000"/>
          <w:sz w:val="28"/>
        </w:rPr>
        <w:t>шешімімен</w:t>
      </w:r>
      <w:r>
        <w:rPr>
          <w:rFonts w:ascii="Times New Roman"/>
          <w:b w:val="false"/>
          <w:i w:val="false"/>
          <w:color w:val="000000"/>
          <w:sz w:val="28"/>
        </w:rPr>
        <w:t xml:space="preserve"> белгіленген демпингке қарсы шараның қолданылуы қоса алғанда 2021 жылғы 18 қазанға дейін ұзартылсын.</w:t>
      </w:r>
    </w:p>
    <w:bookmarkEnd w:id="1"/>
    <w:bookmarkStart w:name="z3" w:id="2"/>
    <w:p>
      <w:pPr>
        <w:spacing w:after="0"/>
        <w:ind w:left="0"/>
        <w:jc w:val="both"/>
      </w:pPr>
      <w:r>
        <w:rPr>
          <w:rFonts w:ascii="Times New Roman"/>
          <w:b w:val="false"/>
          <w:i w:val="false"/>
          <w:color w:val="000000"/>
          <w:sz w:val="28"/>
        </w:rPr>
        <w:t xml:space="preserve">
      2.  Еуразиялық экономикалық одаққа мүше мемлекеттердің кеден ісі саласындағы уәкілеттік берілген мемлекеттік органдары осы Шешім күшіне енген күннен бастап қоса алғанда 2021 жылғы 18 қазанға дейін, алдын ала демпингке қарсы баждарды алу үшін белгіленген тәртіппен Еуразиялық экономикалық комиссия Алқасының 2016 жылғы 26 қаңтардағы № 6 </w:t>
      </w:r>
      <w:r>
        <w:rPr>
          <w:rFonts w:ascii="Times New Roman"/>
          <w:b w:val="false"/>
          <w:i w:val="false"/>
          <w:color w:val="000000"/>
          <w:sz w:val="28"/>
        </w:rPr>
        <w:t>шешімімен</w:t>
      </w:r>
      <w:r>
        <w:rPr>
          <w:rFonts w:ascii="Times New Roman"/>
          <w:b w:val="false"/>
          <w:i w:val="false"/>
          <w:color w:val="000000"/>
          <w:sz w:val="28"/>
        </w:rPr>
        <w:t xml:space="preserve"> белгіленген ставкалар бойынша демпингке қарсы баж алуды қамтамасыз етсін.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2021 жылғы 26 ақпаннан кейін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