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827b0" w14:textId="e4827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Қолдану нәтижесінде "Жарылыс қаупі бар орталарда жұмыс істеуге арналған жабдықтың қауіпсіздігі туралы" Кеден одағы техникалық регламентінің (КО ТР 012/2011) талаптарын сақтау ерікті негізде қамтамасыз етілетін мемлекетаралық стандарттарды және "Жарылыс қаупі бар орталарда жұмыс істеуге арналған жабдықтың қауіпсіздігі туралы" Кеден одағының техникалық регламентінің (КО ТР 012/2011) талаптарын қолдану мен орындау және техникалық реттеу объектілерінің сәйкестігін бағалауды жүзеге асыру үшін қажет зерттеу (сынау) және өлшеу қағидалары мен әдістерін, соның ішінде үлгілерді іріктеп алу қағидасын қамтитын мемлекетаралық стандарттарды әзірлеу (өзгерістер енгізу, қайта қарау) жөніндегі бағдарлама туралы</w:t>
      </w:r>
    </w:p>
    <w:p>
      <w:pPr>
        <w:spacing w:after="0"/>
        <w:ind w:left="0"/>
        <w:jc w:val="both"/>
      </w:pPr>
      <w:r>
        <w:rPr>
          <w:rFonts w:ascii="Times New Roman"/>
          <w:b w:val="false"/>
          <w:i w:val="false"/>
          <w:color w:val="000000"/>
          <w:sz w:val="28"/>
        </w:rPr>
        <w:t>Еуразиялық экономикалық комиссия Алқасының 2020 жылғы 15 желтоқсандағы № 172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51-бабы </w:t>
      </w:r>
      <w:r>
        <w:rPr>
          <w:rFonts w:ascii="Times New Roman"/>
          <w:b w:val="false"/>
          <w:i w:val="false"/>
          <w:color w:val="000000"/>
          <w:sz w:val="28"/>
        </w:rPr>
        <w:t>1-тармағының</w:t>
      </w:r>
      <w:r>
        <w:rPr>
          <w:rFonts w:ascii="Times New Roman"/>
          <w:b w:val="false"/>
          <w:i w:val="false"/>
          <w:color w:val="000000"/>
          <w:sz w:val="28"/>
        </w:rPr>
        <w:t xml:space="preserve"> 11 және 12-тармақшаларында көзделген қағидаттарды іске асыру мақсатында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7-тармағына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беріліп отырған Қолдану нәтижесінде "Жарылыс қаупі бар орталарда жұмыс істеуге арналған жабдықтың қауіпсіздігі туралы" Кеден одағы техникалық регламентінің (КО ТР 012/2011) талаптарын сақтау ерікті негізде қамтамасыз етілетін мемлекетаралық стандарттарды және "Жарылыс қаупі бар орталарда жұмыс істеуге арналған жабдықтың қауіпсіздігі туралы" Кеден одағының техникалық регламентінің (КО ТР 012/2011) талаптарын қолдану мен орындау және техникалық реттеу объектілерінің сәйкестігін бағалауды жүзеге асыру үшін қажет зерттеу (сынау) және өлшеу қағидалары мен әдістерін, соның ішінде үлгілерді іріктеп алу қағидасын қамтитын мемлекетаралық стандарттарды әзірлеу (өзгерістер енгізу, қайта қарау) жөніндегі бағдарлама бекітілсін.</w:t>
      </w:r>
    </w:p>
    <w:bookmarkEnd w:id="1"/>
    <w:bookmarkStart w:name="z3" w:id="2"/>
    <w:p>
      <w:pPr>
        <w:spacing w:after="0"/>
        <w:ind w:left="0"/>
        <w:jc w:val="both"/>
      </w:pPr>
      <w:r>
        <w:rPr>
          <w:rFonts w:ascii="Times New Roman"/>
          <w:b w:val="false"/>
          <w:i w:val="false"/>
          <w:color w:val="000000"/>
          <w:sz w:val="28"/>
        </w:rPr>
        <w:t xml:space="preserve">
      2.  Еуразиялық экономикалық комиссия Алқасының "Қолдану нәтижесінде "Жарылыс қаупі бар орталарда жұмыс істеуге арналған жабдықтың қауіпсіздігі туралы" Кеден одағы техникалық регламентінің (КО ТР 012/2011) талаптарын сақтау ерікті негізде қамтамасыз етілетін мемлекетаралық стандарттарды және "Жарылыс қаупі бар орталарда жұмыс істеуге арналған жабдықтың қауіпсіздігі туралы" Кеден одағының техникалық регламентінің (КО ТР 012/2011) талаптарын қолдану мен орындау және өнімнің сәйкестігін бағалауды (растауды) жүзеге асыру үшін қажет зерттеу (сынау) және өлшеу қағидалары мен әдістерін, соның ішінде үлгілерді іріктеп алу қағидасын қамтитын мемлекетаралық стандарттарды әзірлеу (өзгерістер енгізу, қайта қарау) жөніндегі бағдарлама туралы" 2013 жылғы 9 сәуірдегі № 70 шешімінің күші жойылды деп танылсын. </w:t>
      </w:r>
    </w:p>
    <w:bookmarkEnd w:id="2"/>
    <w:bookmarkStart w:name="z6"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15 желтоқсандағы</w:t>
            </w:r>
            <w:r>
              <w:br/>
            </w:r>
            <w:r>
              <w:rPr>
                <w:rFonts w:ascii="Times New Roman"/>
                <w:b w:val="false"/>
                <w:i w:val="false"/>
                <w:color w:val="000000"/>
                <w:sz w:val="20"/>
              </w:rPr>
              <w:t>№ 172 шешімімен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Қолдану нәтижесінде "Жарылыс қаупі бар орталарда жұмыс істеуге арналған жабдықтың қауіпсіздігі туралы" Кеден одағы техникалық регламентінің (КО ТР 012/2011) талаптарын сақтау ерікті негізде қамтамасыз етілетін мемлекетаралық стандарттарды және "Жарылыс қаупі бар орталарда жұмыс істеуге арналған жабдықтың қауіпсіздігі туралы" Кеден одағының техникалық регламентінің (КО ТР 012/2011) талаптарын қолдану мен орындау және техникалық реттеу объектілерінің сәйкестігін бағалауды жүзеге асыру үшін қажет зерттеу (сынау) және өлшеу қағидалары мен әдістерін, оның ішінде үлгілерді іріктеп алу қағидасын қамтитын мемлекетаралық стандарттарды әзірлеу (өзгерістер енгізу, қайта қарау) жөніндегі БАҒДАРЛАМА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стандарт жобасының атауы. Жұмыстар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регламентінің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мерзімдері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 - жауапты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орталар. 29-2-бөлім: Газ талдағыштары. Жанғыш газдар мен оттегінің газ талдағыштарын таңдауға, монтаждауға, қолдануға және оларға техникалық қызмет көрсетуге қойылатын талаптар.</w:t>
            </w:r>
          </w:p>
          <w:p>
            <w:pPr>
              <w:spacing w:after="20"/>
              <w:ind w:left="20"/>
              <w:jc w:val="both"/>
            </w:pPr>
            <w:r>
              <w:rPr>
                <w:rFonts w:ascii="Times New Roman"/>
                <w:b w:val="false"/>
                <w:i w:val="false"/>
                <w:color w:val="000000"/>
                <w:sz w:val="20"/>
              </w:rPr>
              <w:t>
IEC 60079-29-2:2015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орталар. Жарылутың алдын алу және одан қорғау. 1-бөлім. Негізгі тұжырымдамалар мен әдіснамалар.</w:t>
            </w:r>
          </w:p>
          <w:p>
            <w:pPr>
              <w:spacing w:after="20"/>
              <w:ind w:left="20"/>
              <w:jc w:val="both"/>
            </w:pPr>
            <w:r>
              <w:rPr>
                <w:rFonts w:ascii="Times New Roman"/>
                <w:b w:val="false"/>
                <w:i w:val="false"/>
                <w:color w:val="000000"/>
                <w:sz w:val="20"/>
              </w:rPr>
              <w:t>
EN 1127-1:2019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орталар. Жарылутың алдын алу және одан қорғау. 2-бөлім. Тау-кен жұмыстарының негізгі тұжырымдамалары мен әдіснамасы.</w:t>
            </w:r>
          </w:p>
          <w:p>
            <w:pPr>
              <w:spacing w:after="20"/>
              <w:ind w:left="20"/>
              <w:jc w:val="both"/>
            </w:pPr>
            <w:r>
              <w:rPr>
                <w:rFonts w:ascii="Times New Roman"/>
                <w:b w:val="false"/>
                <w:i w:val="false"/>
                <w:color w:val="000000"/>
                <w:sz w:val="20"/>
              </w:rPr>
              <w:t>
EN 1127-2:2014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орталар. 36-бөлім. Жарылыс қаупі бар ортаға арналған электрлік емес жабдық. Жалпы талаптар және сынау әдістері.</w:t>
            </w:r>
          </w:p>
          <w:p>
            <w:pPr>
              <w:spacing w:after="20"/>
              <w:ind w:left="20"/>
              <w:jc w:val="both"/>
            </w:pPr>
            <w:r>
              <w:rPr>
                <w:rFonts w:ascii="Times New Roman"/>
                <w:b w:val="false"/>
                <w:i w:val="false"/>
                <w:color w:val="000000"/>
                <w:sz w:val="20"/>
              </w:rPr>
              <w:t>
ISO 80079-36:2016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орталар. 42-бөлім. Ex жабдықтарының ықтимал тұтану көздерін бақылауға арналған электрлік қауіпсіздік құрылғылары.</w:t>
            </w:r>
          </w:p>
          <w:p>
            <w:pPr>
              <w:spacing w:after="20"/>
              <w:ind w:left="20"/>
              <w:jc w:val="both"/>
            </w:pPr>
            <w:r>
              <w:rPr>
                <w:rFonts w:ascii="Times New Roman"/>
                <w:b w:val="false"/>
                <w:i w:val="false"/>
                <w:color w:val="000000"/>
                <w:sz w:val="20"/>
              </w:rPr>
              <w:t>
IEC/TS 60079-42.2019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орталар. 46-бөлім. Жабдық тораптары.</w:t>
            </w:r>
          </w:p>
          <w:p>
            <w:pPr>
              <w:spacing w:after="20"/>
              <w:ind w:left="20"/>
              <w:jc w:val="both"/>
            </w:pPr>
            <w:r>
              <w:rPr>
                <w:rFonts w:ascii="Times New Roman"/>
                <w:b w:val="false"/>
                <w:i w:val="false"/>
                <w:color w:val="000000"/>
                <w:sz w:val="20"/>
              </w:rPr>
              <w:t>
IEC/TS 60079-46:2017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орталар. 15-бөлім. "n" жарылыстан қорғау түріндегі жабдық.</w:t>
            </w:r>
          </w:p>
          <w:p>
            <w:pPr>
              <w:spacing w:after="20"/>
              <w:ind w:left="20"/>
              <w:jc w:val="both"/>
            </w:pPr>
            <w:r>
              <w:rPr>
                <w:rFonts w:ascii="Times New Roman"/>
                <w:b w:val="false"/>
                <w:i w:val="false"/>
                <w:color w:val="000000"/>
                <w:sz w:val="20"/>
              </w:rPr>
              <w:t>
IEC негізінде  МемСТ 30852.14-2002 және МемСТ 31610.15-2012 орнына МемСТ 60079-15:2017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орталар. 11-бөлім. Жарылыстан қорғайтын "I" ұшқын қауіпсіз электр тізбегі" түріндегі жабдық.</w:t>
            </w:r>
          </w:p>
          <w:p>
            <w:pPr>
              <w:spacing w:after="20"/>
              <w:ind w:left="20"/>
              <w:jc w:val="both"/>
            </w:pPr>
            <w:r>
              <w:rPr>
                <w:rFonts w:ascii="Times New Roman"/>
                <w:b w:val="false"/>
                <w:i w:val="false"/>
                <w:color w:val="000000"/>
                <w:sz w:val="20"/>
              </w:rPr>
              <w:t xml:space="preserve">
IEC 60079-11:2011/IS2:2016 </w:t>
            </w:r>
          </w:p>
          <w:p>
            <w:pPr>
              <w:spacing w:after="20"/>
              <w:ind w:left="20"/>
              <w:jc w:val="both"/>
            </w:pPr>
            <w:r>
              <w:rPr>
                <w:rFonts w:ascii="Times New Roman"/>
                <w:b w:val="false"/>
                <w:i w:val="false"/>
                <w:color w:val="000000"/>
                <w:sz w:val="20"/>
              </w:rPr>
              <w:t xml:space="preserve">
IEC 60079-11:2011/IS3:2016, </w:t>
            </w:r>
          </w:p>
          <w:p>
            <w:pPr>
              <w:spacing w:after="20"/>
              <w:ind w:left="20"/>
              <w:jc w:val="both"/>
            </w:pPr>
            <w:r>
              <w:rPr>
                <w:rFonts w:ascii="Times New Roman"/>
                <w:b w:val="false"/>
                <w:i w:val="false"/>
                <w:color w:val="000000"/>
                <w:sz w:val="20"/>
              </w:rPr>
              <w:t>IEC 60079-11:2011/Cor. 1:2012,</w:t>
            </w:r>
          </w:p>
          <w:p>
            <w:pPr>
              <w:spacing w:after="20"/>
              <w:ind w:left="20"/>
              <w:jc w:val="both"/>
            </w:pPr>
            <w:r>
              <w:rPr>
                <w:rFonts w:ascii="Times New Roman"/>
                <w:b w:val="false"/>
                <w:i w:val="false"/>
                <w:color w:val="000000"/>
                <w:sz w:val="20"/>
              </w:rPr>
              <w:t>
IEC 60079-11:2011/IS1:2014,</w:t>
            </w:r>
          </w:p>
          <w:p>
            <w:pPr>
              <w:spacing w:after="20"/>
              <w:ind w:left="20"/>
              <w:jc w:val="both"/>
            </w:pPr>
            <w:r>
              <w:rPr>
                <w:rFonts w:ascii="Times New Roman"/>
                <w:b w:val="false"/>
                <w:i w:val="false"/>
                <w:color w:val="000000"/>
                <w:sz w:val="20"/>
              </w:rPr>
              <w:t xml:space="preserve">
МемСТ 31610.11-2014 ескере отырып, </w:t>
            </w:r>
          </w:p>
          <w:p>
            <w:pPr>
              <w:spacing w:after="20"/>
              <w:ind w:left="20"/>
              <w:jc w:val="both"/>
            </w:pPr>
            <w:r>
              <w:rPr>
                <w:rFonts w:ascii="Times New Roman"/>
                <w:b w:val="false"/>
                <w:i w:val="false"/>
                <w:color w:val="000000"/>
                <w:sz w:val="20"/>
              </w:rPr>
              <w:t>МемСТ 31610.11-2014-ке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орталар. 20-1-бөлім. Газ бен буды жіктеуге арналған заттардың сипаттамасы. Сынақ әдістері және деректер.</w:t>
            </w:r>
          </w:p>
          <w:p>
            <w:pPr>
              <w:spacing w:after="20"/>
              <w:ind w:left="20"/>
              <w:jc w:val="both"/>
            </w:pPr>
            <w:r>
              <w:rPr>
                <w:rFonts w:ascii="Times New Roman"/>
                <w:b w:val="false"/>
                <w:i w:val="false"/>
                <w:color w:val="000000"/>
                <w:sz w:val="20"/>
              </w:rPr>
              <w:t>
ISO/IEC 80079-20-1: 2017</w:t>
            </w:r>
          </w:p>
          <w:p>
            <w:pPr>
              <w:spacing w:after="20"/>
              <w:ind w:left="20"/>
              <w:jc w:val="both"/>
            </w:pPr>
            <w:r>
              <w:rPr>
                <w:rFonts w:ascii="Times New Roman"/>
                <w:b w:val="false"/>
                <w:i w:val="false"/>
                <w:color w:val="000000"/>
                <w:sz w:val="20"/>
              </w:rPr>
              <w:t xml:space="preserve">
және ISO/IEC 80079-20-1: 2017 / Cor.1: 2018 негізінде </w:t>
            </w:r>
          </w:p>
          <w:p>
            <w:pPr>
              <w:spacing w:after="20"/>
              <w:ind w:left="20"/>
              <w:jc w:val="both"/>
            </w:pPr>
            <w:r>
              <w:rPr>
                <w:rFonts w:ascii="Times New Roman"/>
                <w:b w:val="false"/>
                <w:i w:val="false"/>
                <w:color w:val="000000"/>
                <w:sz w:val="20"/>
              </w:rPr>
              <w:t>
МемСТ 30852.2 - 2002, МЕМСТ 30852.5-2002,</w:t>
            </w:r>
          </w:p>
          <w:p>
            <w:pPr>
              <w:spacing w:after="20"/>
              <w:ind w:left="20"/>
              <w:jc w:val="both"/>
            </w:pPr>
            <w:r>
              <w:rPr>
                <w:rFonts w:ascii="Times New Roman"/>
                <w:b w:val="false"/>
                <w:i w:val="false"/>
                <w:color w:val="000000"/>
                <w:sz w:val="20"/>
              </w:rPr>
              <w:t>
МемСТ 30852.11 - 2002, МЕМСТ 30852.19-2002</w:t>
            </w:r>
          </w:p>
          <w:p>
            <w:pPr>
              <w:spacing w:after="20"/>
              <w:ind w:left="20"/>
              <w:jc w:val="both"/>
            </w:pPr>
            <w:r>
              <w:rPr>
                <w:rFonts w:ascii="Times New Roman"/>
                <w:b w:val="false"/>
                <w:i w:val="false"/>
                <w:color w:val="000000"/>
                <w:sz w:val="20"/>
              </w:rPr>
              <w:t>
және МемСТ 31610.1.1-2012 орнына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газ турбиналы. Қауіпсіздік талаптары.</w:t>
            </w:r>
          </w:p>
          <w:p>
            <w:pPr>
              <w:spacing w:after="20"/>
              <w:ind w:left="20"/>
              <w:jc w:val="both"/>
            </w:pPr>
            <w:r>
              <w:rPr>
                <w:rFonts w:ascii="Times New Roman"/>
                <w:b w:val="false"/>
                <w:i w:val="false"/>
                <w:color w:val="000000"/>
                <w:sz w:val="20"/>
              </w:rPr>
              <w:t>
МЕМСТ Р 55393-2012 (ISO 21789:2009)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орталар. 29-4 бөлім. Газ талдағыштар. Ашық оптикалық арнасы бар жанғыш газдардың газ талдағыштарын сынаудың жалпы техникалық талаптары мен әдістері.</w:t>
            </w:r>
          </w:p>
          <w:p>
            <w:pPr>
              <w:spacing w:after="20"/>
              <w:ind w:left="20"/>
              <w:jc w:val="both"/>
            </w:pPr>
            <w:r>
              <w:rPr>
                <w:rFonts w:ascii="Times New Roman"/>
                <w:b w:val="false"/>
                <w:i w:val="false"/>
                <w:color w:val="000000"/>
                <w:sz w:val="20"/>
              </w:rPr>
              <w:t>
МемСТ Р 52350.29.4-2011 (IEC 60079-29-4: 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станциялары. 1-бөлім. Мөлшерлеу сорғыларының, отын тарату құрылғыларының және қашықтықтан сорғы агрегаттарының конструкциясы мен жұмысына қойылатын қауіпсіздік талаптары.</w:t>
            </w:r>
          </w:p>
          <w:p>
            <w:pPr>
              <w:spacing w:after="20"/>
              <w:ind w:left="20"/>
              <w:jc w:val="both"/>
            </w:pPr>
            <w:r>
              <w:rPr>
                <w:rFonts w:ascii="Times New Roman"/>
                <w:b w:val="false"/>
                <w:i w:val="false"/>
                <w:color w:val="000000"/>
                <w:sz w:val="20"/>
              </w:rPr>
              <w:t xml:space="preserve">
EN 13617-1:2012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орталар. 19-бөлім. Электр жабдықтарын жөндеу, тексеру және қалпына келтіру.</w:t>
            </w:r>
          </w:p>
          <w:p>
            <w:pPr>
              <w:spacing w:after="20"/>
              <w:ind w:left="20"/>
              <w:jc w:val="both"/>
            </w:pPr>
            <w:r>
              <w:rPr>
                <w:rFonts w:ascii="Times New Roman"/>
                <w:b w:val="false"/>
                <w:i w:val="false"/>
                <w:color w:val="000000"/>
                <w:sz w:val="20"/>
              </w:rPr>
              <w:t xml:space="preserve">
IEC60079-19:2019 негізіндегі МемСТ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орталар. 34-бөлім. Ex жабдықтарын өндіру үшін сапа жүйелерін қолдану.</w:t>
            </w:r>
          </w:p>
          <w:p>
            <w:pPr>
              <w:spacing w:after="20"/>
              <w:ind w:left="20"/>
              <w:jc w:val="both"/>
            </w:pPr>
            <w:r>
              <w:rPr>
                <w:rFonts w:ascii="Times New Roman"/>
                <w:b w:val="false"/>
                <w:i w:val="false"/>
                <w:color w:val="000000"/>
                <w:sz w:val="20"/>
              </w:rPr>
              <w:t>
ISO/IEC80079-34: 2018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