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77cd" w14:textId="f157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коррозияға төзімді болаттан жасалған асүйлік және асханалық аспаптарға қатысты демпингке қарсы шаралардың қолданысын ұзарту және Еуразиялық экономикалық комиссия Алқасының 2020 жылғы 12 мамырдағы № 65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1 желтоқсандағы № 159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арнаулы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сәйкес және Еуразиялық экономикалық комиссияның Ішкі нарықты қорғау департаментінің Еуразиялық экономикалық комиссия Алқасының 2015 жылғы 19 мамырдағы № 56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шараларды қолдану мерзімінің өтуіне байланысты жүргізілген қайталап тергеп-тексеру нәтижелері бойынша дайындаған баяндамасының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19 мамырдағы № 56 </w:t>
      </w:r>
      <w:r>
        <w:rPr>
          <w:rFonts w:ascii="Times New Roman"/>
          <w:b w:val="false"/>
          <w:i w:val="false"/>
          <w:color w:val="000000"/>
          <w:sz w:val="28"/>
        </w:rPr>
        <w:t>шешімімен</w:t>
      </w:r>
      <w:r>
        <w:rPr>
          <w:rFonts w:ascii="Times New Roman"/>
          <w:b w:val="false"/>
          <w:i w:val="false"/>
          <w:color w:val="000000"/>
          <w:sz w:val="28"/>
        </w:rPr>
        <w:t xml:space="preserve"> белгіленген Қытай Халық Республикасында шығарылатын және Еуразиялық экономикалық одақтың кедендік аумағына әкелінетін коррозияға төзімді болаттан жасалған асүйлік және асханалық аспаптарға қатысты демпингке қарсы шаралардың қолданысы 2025 жылғы 30 қарашаға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2"/>
    <w:p>
      <w:pPr>
        <w:spacing w:after="0"/>
        <w:ind w:left="0"/>
        <w:jc w:val="both"/>
      </w:pPr>
      <w:r>
        <w:rPr>
          <w:rFonts w:ascii="Times New Roman"/>
          <w:b w:val="false"/>
          <w:i w:val="false"/>
          <w:color w:val="000000"/>
          <w:sz w:val="28"/>
        </w:rPr>
        <w:t xml:space="preserve">
      демпингке қарсы баждарды Еуразиялық экономикалық комиссия Алқасының 2015 жылғы 19 мамырдағы № 56 </w:t>
      </w:r>
      <w:r>
        <w:rPr>
          <w:rFonts w:ascii="Times New Roman"/>
          <w:b w:val="false"/>
          <w:i w:val="false"/>
          <w:color w:val="000000"/>
          <w:sz w:val="28"/>
        </w:rPr>
        <w:t>шешімінде</w:t>
      </w:r>
      <w:r>
        <w:rPr>
          <w:rFonts w:ascii="Times New Roman"/>
          <w:b w:val="false"/>
          <w:i w:val="false"/>
          <w:color w:val="000000"/>
          <w:sz w:val="28"/>
        </w:rPr>
        <w:t xml:space="preserve"> көзделген мөлшерде өндіріп алуды қамтамасыз етсін;</w:t>
      </w:r>
    </w:p>
    <w:p>
      <w:pPr>
        <w:spacing w:after="0"/>
        <w:ind w:left="0"/>
        <w:jc w:val="both"/>
      </w:pPr>
      <w:r>
        <w:rPr>
          <w:rFonts w:ascii="Times New Roman"/>
          <w:b w:val="false"/>
          <w:i w:val="false"/>
          <w:color w:val="000000"/>
          <w:sz w:val="28"/>
        </w:rPr>
        <w:t xml:space="preserve">
      Еуразиялық экономикалық комиссия Алқасының 2020 жылғы 12 мамырдағы № 65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сомасын демпингке қарсы баждарды алдын ала өндіріп алу үшін белгіленген тәртіпте демпингке қарсы баждың есебіне кіргізсін және сол баж төленген Еуразиялық экономикалық одаққа мүше мемлекеттің уәкілетті органының есебіне жатқызсын.</w:t>
      </w:r>
    </w:p>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"Қытай Халық Республикасында шығарылатын және Еуразиялық экономикалық одақтың кедендік аумағына әкелінетін коррозияға төзімді болаттан жасалған асүйлік және асханалық аспаптарға қатысты демпингке қарсы шаралардың қолданысын ұзарту туралы" 2020 жылғы 12 мамырдағы № 65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