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6493" w14:textId="c2d6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өсімдік майларының тағамдық сұйық қоспасын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2020 жылғы 17 қарашадағы № 147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Ылғалдануға, тазартуға, ағартуға, мұздатуға, иіссіздендіруге ұшыраған ұшпайтын өсімдік майлары (мысалы, соя және рапс) болып табылатын, өзгермеген химиялық құрамы бар өсімдік майларының тағамдық сұйық қоспасы сыртқы экономикалық қызметтің Бірыңғай тауар номенклатурасына сыртқы экономикалық қызметінің Бірыңғай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1517 90 910 0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