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123b" w14:textId="b961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Республикасында шығарылатын және Еуразиялық экономикалық одақтың кедендік аумағына әкелінетін коррозияға төзімді болаттан жасалған асүйлік және асханалық аспаптарға қатысты демпингке қарсы шараларды қолдануды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12 мамырдағы № 65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2015 жылғы 19 мамырдағы "</w:t>
      </w:r>
      <w:r>
        <w:rPr>
          <w:rFonts w:ascii="Times New Roman"/>
          <w:b/>
          <w:i w:val="false"/>
          <w:color w:val="000000"/>
          <w:sz w:val="28"/>
        </w:rPr>
        <w:t>Қытай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әкелінетін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коррозияға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төзімді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болаттан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асүйлік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асханалық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аспаптарға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демпингке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демпингке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№ 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демпингке қарсы шараларды қолдану қоса алғанда 2021 жылғы 15 қаңтарға дейінгі аралыққа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уәкілетті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органдары</w:t>
      </w:r>
      <w:r>
        <w:rPr>
          <w:rFonts w:ascii="Times New Roman"/>
          <w:b/>
          <w:i w:val="false"/>
          <w:color w:val="000000"/>
          <w:sz w:val="28"/>
        </w:rPr>
        <w:t xml:space="preserve"> осы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алғанда </w:t>
      </w:r>
      <w:r>
        <w:rPr>
          <w:rFonts w:ascii="Times New Roman"/>
          <w:b/>
          <w:i w:val="false"/>
          <w:color w:val="000000"/>
          <w:sz w:val="28"/>
        </w:rPr>
        <w:t xml:space="preserve">2021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 қаңтарға дейінгі аралықта Еуразиялық экономикалық комиссия Алқасының 2015 жылғы 19 мамырдағы № 56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ставкалар бойынша, алдын ала демпингке қарсы баж алу үшін белгіленген тәртіппен демпингке қарсы баж алуды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2020 жылғы 19 маусымнан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