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6bdb" w14:textId="c4a6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кедендік әкелу баждарының преференциялық ставкалары қолданылатын тауарлар тізбесіне және осындай ставкалар мөлшерінің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18 ақпандағы № 26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2.4-бабына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кедендік әкелу баждарының преференциялық ставкалары қолданылатын тауарлар тізбесінде және Еуразиялық экономикалық комиссия Алқасының 2019 жылғы 22 қаңтардағы № 10 </w:t>
      </w:r>
      <w:r>
        <w:rPr>
          <w:rFonts w:ascii="Times New Roman"/>
          <w:b w:val="false"/>
          <w:i w:val="false"/>
          <w:color w:val="000000"/>
          <w:sz w:val="28"/>
        </w:rPr>
        <w:t>шешімімен</w:t>
      </w:r>
      <w:r>
        <w:rPr>
          <w:rFonts w:ascii="Times New Roman"/>
          <w:b w:val="false"/>
          <w:i w:val="false"/>
          <w:color w:val="000000"/>
          <w:sz w:val="28"/>
        </w:rPr>
        <w:t xml:space="preserve"> бекітілген осындай ставкалар  мөлшерінің тізбесінде ЕАЭО СЭҚ ТН 3907 30 000 0 коды бар позициясы мынадай мазмұндағы позициялармен ауыстырылсын: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3907 3</w:t>
            </w:r>
            <w:r>
              <w:rPr>
                <w:rFonts w:ascii="Times New Roman"/>
                <w:b/>
                <w:i w:val="false"/>
                <w:color w:val="000000"/>
                <w:sz w:val="20"/>
              </w:rPr>
              <w:t>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 оптикалық талшықтар өндірісіне арналған</w:t>
            </w:r>
            <w:r>
              <w:rPr>
                <w:rFonts w:ascii="Times New Roman"/>
                <w:b w:val="false"/>
                <w:i w:val="false"/>
                <w:color w:val="000000"/>
                <w:vertAlign w:val="superscript"/>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кедендік әкелу бажының ставкасын өзгерту туралы шешімді Еуразиялық экономикалық комиссия қабылдайтын сезімтал тауарлар тізбесіне, эпоксидті смоланың жекелеген түрлеріне және оптикалық талшықтар өндірісіне арналған бастапқы нысандағы полиуретандар тізбесіне өзгеріс енгізу туралы Еуразиялық экономикалық комиссия Кеңесінің шешімі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