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14cc" w14:textId="8bd1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Бедерлеуге арналған фольгаға қатысты Еуразиялық экономикалық одақтың Бірыңғай кедендік тарифінің кедендік әкелу бажы ставкасын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2020 жылғы 14 қаңтардағы № 2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18-тармағына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1" w:id="1"/>
    <w:p>
      <w:pPr>
        <w:spacing w:after="0"/>
        <w:ind w:left="0"/>
        <w:jc w:val="both"/>
      </w:pPr>
      <w:r>
        <w:rPr>
          <w:rFonts w:ascii="Times New Roman"/>
          <w:b w:val="false"/>
          <w:i w:val="false"/>
          <w:color w:val="000000"/>
          <w:sz w:val="28"/>
        </w:rPr>
        <w:t>
      1. ЕАЭО СЭҚ ТН 3212 10 000 0 кодымен сыныпталатын, бедерлеуге арналған фольгаға қатысты Еуразиялық экономикалық одақтың Бірыңғай кедендік тарифінің (Еуразиялық экономикалық комиссия Кеңесінің 2012 жылғы 16 шілдедегі № 54 шешіміне қосымша) кедендік әкелу бажының ставкасы 2019 жылғы 1 қыркүйектен бастап қоса алғанда 2022 жылғы 31 тамызға дейінгі аралықта кедендік құннан 0 пайыз мөлшерінде  белгіленсін.</w:t>
      </w:r>
    </w:p>
    <w:bookmarkEnd w:id="1"/>
    <w:bookmarkStart w:name="z2" w:id="2"/>
    <w:p>
      <w:pPr>
        <w:spacing w:after="0"/>
        <w:ind w:left="0"/>
        <w:jc w:val="both"/>
      </w:pPr>
      <w:r>
        <w:rPr>
          <w:rFonts w:ascii="Times New Roman"/>
          <w:b w:val="false"/>
          <w:i w:val="false"/>
          <w:color w:val="000000"/>
          <w:sz w:val="28"/>
        </w:rPr>
        <w:t>
      2.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2"/>
    <w:bookmarkStart w:name="z3" w:id="3"/>
    <w:p>
      <w:pPr>
        <w:spacing w:after="0"/>
        <w:ind w:left="0"/>
        <w:jc w:val="both"/>
      </w:pPr>
      <w:r>
        <w:rPr>
          <w:rFonts w:ascii="Times New Roman"/>
          <w:b w:val="false"/>
          <w:i w:val="false"/>
          <w:color w:val="000000"/>
          <w:sz w:val="28"/>
        </w:rPr>
        <w:t>
      а) ЕАЭО СЭҚ ТН 3212 10 000 0 коды бар позицияда Еуразиялық экономикалық одақтың Бірыңғай кедендік тарифіне ескертпеге "</w:t>
      </w:r>
      <w:r>
        <w:rPr>
          <w:rFonts w:ascii="Times New Roman"/>
          <w:b w:val="false"/>
          <w:i w:val="false"/>
          <w:color w:val="000000"/>
          <w:vertAlign w:val="superscript"/>
        </w:rPr>
        <w:t>10С)</w:t>
      </w:r>
      <w:r>
        <w:rPr>
          <w:rFonts w:ascii="Times New Roman"/>
          <w:b w:val="false"/>
          <w:i w:val="false"/>
          <w:color w:val="000000"/>
          <w:sz w:val="28"/>
        </w:rPr>
        <w:t>" сілтеме "</w:t>
      </w:r>
      <w:r>
        <w:rPr>
          <w:rFonts w:ascii="Times New Roman"/>
          <w:b w:val="false"/>
          <w:i w:val="false"/>
          <w:color w:val="000000"/>
          <w:vertAlign w:val="superscript"/>
        </w:rPr>
        <w:t>68С)</w:t>
      </w:r>
      <w:r>
        <w:rPr>
          <w:rFonts w:ascii="Times New Roman"/>
          <w:b w:val="false"/>
          <w:i w:val="false"/>
          <w:color w:val="000000"/>
          <w:sz w:val="28"/>
        </w:rPr>
        <w:t>" сілтемесімен ауыстырылсын;</w:t>
      </w:r>
    </w:p>
    <w:bookmarkEnd w:id="3"/>
    <w:bookmarkStart w:name="z4"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ескертпелер мынадай мазмұндағы 68С ескертпемен толықтырылсын:</w:t>
      </w:r>
    </w:p>
    <w:bookmarkEnd w:id="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68С)</w:t>
      </w:r>
      <w:r>
        <w:rPr>
          <w:rFonts w:ascii="Times New Roman"/>
          <w:b w:val="false"/>
          <w:i w:val="false"/>
          <w:color w:val="000000"/>
          <w:sz w:val="28"/>
        </w:rPr>
        <w:t xml:space="preserve"> Кедендік әкелу бажының ставкасы кедендік құннан 0 (нөл) % мөлшерінде 01.09.2019 бастап қоса алғанда 31.08.2022 дейінгі аралықта қолданылады.".</w:t>
      </w:r>
    </w:p>
    <w:bookmarkStart w:name="z5" w:id="5"/>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Еуразиялық экономикалық комиссия Кеңесінің  өтпелі кезең ішінде оларға қатысты Армения Республикасы Еуразиялық экономикалық одақтың Бірыңғай кедендік тарифінің ставкаларынан ерекшелікті  кедендік әкелу бажының ставкаларын қолданатын тауарлар мен ставкалар тізбесіне өзгеріс енгізу туралы шешімі күшіне енген күннен кейін күшіне енеді және 2019 жылғы 1 қыркүйектен бастап туындайтын құқықтық қатынастарда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