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cf6d" w14:textId="9fbc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Еуразиялық экономикалық одаққа мүше мемлекеттердің бюджеттері арасында кедендік әкелу баждарының сомаларын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2019 жылғы 9 тамыздағы № 12 Өкімі</w:t>
      </w:r>
    </w:p>
    <w:p>
      <w:pPr>
        <w:spacing w:after="0"/>
        <w:ind w:left="0"/>
        <w:jc w:val="both"/>
      </w:pPr>
      <w:bookmarkStart w:name="z1" w:id="0"/>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54-тармағының,  Еуразиялық экономикалық комиссия туралы ереженің (2014 жылғы 29 мамырдағы Еуразиялық  экономикалық одақ туралы шартқа № 1 қосымша) 43-тармағы 4-тармақшасының негізінде, Еуразиялық экономикалық комиссияның 2018 жылғы Еуразиялық экономикалық одаққа мүше мемлекеттердің бюджеттері арасында кедендік әкелу баждарының  сомаларын  есепке жатқызу және бөлу туралы ақпаратын ескере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іске асыру мониторингі бойынша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