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1c42" w14:textId="7f61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2019 жылғы 22 ақпандағы № 10 өкімі</w:t>
      </w:r>
    </w:p>
    <w:p>
      <w:pPr>
        <w:spacing w:after="0"/>
        <w:ind w:left="0"/>
        <w:jc w:val="both"/>
      </w:pPr>
      <w:bookmarkStart w:name="z0" w:id="0"/>
      <w:r>
        <w:rPr>
          <w:rFonts w:ascii="Times New Roman"/>
          <w:b w:val="false"/>
          <w:i w:val="false"/>
          <w:color w:val="000000"/>
          <w:sz w:val="28"/>
        </w:rPr>
        <w:t>
      1. Қоса беріліп отырған Жоғары Еуразиялық экономикалық кеңестің сырттай дауыс беруіне арналған  мәселелер тізбесі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Т.С.Саркисян Жоғары Еуразиялық экономикалық кеңестің сырттай дауыс беруіне арналған  мәселелердің бекітілген тізбесін белгіленген тәртіпте Жоғары Еуразиялық экономикалық кеңестің Төрағасына және Жоғары Еуразиялық экономикалық кеңес мүшелеріне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