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29be" w14:textId="aad2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техникалық регламенттерін әзірлеу және Кеден одағының техникалық регламенттеріне өзгерістер енгізу жоспарының ІІ бөліміне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28 мамырдағы № 56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өзгеріс енгізу және күшін жою тәртібінің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 шеңберінде техникалық реттеу туралы хаттаманың 3-тармағына (Еуразиялық экономикалық одақ туралы шартқа № 9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31-тармағына сәйкес Еуразиялық экономикалық 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 комиссия Кеңесінің 2014 жылғы 1 қазандағы № 79 шешімімен бекітілген Еуразиялық экономикалық одақтың техникалық регламенттерін әзірлеу және Кеден одағының техникалық регламенттеріне өзгеріс енгізу жөніндегі жоспардың ІІ бөлімі мынадай мазмұндағы 39-позициямен толықтырылсын: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"39. Қаптаманың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қауіпсіздігі туралы (КО ТР 005/2011) (техникалық регламентті қолдану практикасының нәтижелері бойынша  оның жекелеген талаптарын нақтылау бөлігінде № 4 өзгеріс)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20121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ІҮ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36"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Ә. Смайылов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