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c014" w14:textId="b5bc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ішкі нарықты қорғау шараларын қолдану туралы кейбір шешімдерінің күшіне ену мерзімі туралы</w:t>
      </w:r>
    </w:p>
    <w:p>
      <w:pPr>
        <w:spacing w:after="0"/>
        <w:ind w:left="0"/>
        <w:jc w:val="both"/>
      </w:pPr>
      <w:r>
        <w:rPr>
          <w:rFonts w:ascii="Times New Roman"/>
          <w:b w:val="false"/>
          <w:i w:val="false"/>
          <w:color w:val="000000"/>
          <w:sz w:val="28"/>
        </w:rPr>
        <w:t>Еуразиялық экономикалық комиссия Кеңесінің 2019 жылғы 22 ақпандағы № 30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92-тармағына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Жедел ден қоюды талап ететін айрықша жағдайларда, атап айтқанда ішкі нарықты қорғау шараларының қолданысындағы уақыт үзілісін жою немесе қысқарту мақсатында Еуразиялық экономикалық комиссия Алқасына жүргізу барысында алдын ала арнайы, алдын ала демпингке қарсы немесе алдын ала өтемақы баждары қолданылған тергеп-тексерулердің қорытындысы бойынша арнайы қорғау, демпингке қарсы немесе өтемақы шараларын қолдану туралы шешім қабылдаған кезде мұндай шешімдердің күшіне енуінің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16-тармағының</w:t>
      </w:r>
      <w:r>
        <w:rPr>
          <w:rFonts w:ascii="Times New Roman"/>
          <w:b w:val="false"/>
          <w:i w:val="false"/>
          <w:color w:val="000000"/>
          <w:sz w:val="28"/>
        </w:rPr>
        <w:t xml:space="preserve"> бірінші абзацында көрсетілгеннен өзгеше, бірақ тиісті шешім ресми жарияланған күннен бастап күнтізбелік 15 күн өткеннен кем болмайтын мерзімін белгілеу тапсырылсын.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Кеңесінің </w:t>
      </w:r>
      <w:r>
        <w:rPr>
          <w:rFonts w:ascii="Times New Roman"/>
          <w:b/>
          <w:i w:val="false"/>
          <w:color w:val="000000"/>
          <w:sz w:val="28"/>
        </w:rPr>
        <w:t>мүшелері</w:t>
      </w:r>
      <w:r>
        <w:rPr>
          <w:rFonts w:ascii="Times New Roman"/>
          <w:b/>
          <w:i w:val="false"/>
          <w:color w:val="000000"/>
          <w:sz w:val="28"/>
        </w:rPr>
        <w:t>:</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w:t>
            </w:r>
          </w:p>
          <w:p>
            <w:pPr>
              <w:spacing w:after="20"/>
              <w:ind w:left="20"/>
              <w:jc w:val="both"/>
            </w:pPr>
          </w:p>
          <w:p>
            <w:pPr>
              <w:spacing w:after="20"/>
              <w:ind w:left="20"/>
              <w:jc w:val="both"/>
            </w:pPr>
            <w:r>
              <w:rPr>
                <w:rFonts w:ascii="Times New Roman"/>
                <w:b/>
                <w:i w:val="false"/>
                <w:color w:val="000000"/>
                <w:sz w:val="20"/>
              </w:rPr>
              <w:t>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Беларусь </w:t>
            </w:r>
          </w:p>
          <w:p>
            <w:pPr>
              <w:spacing w:after="20"/>
              <w:ind w:left="20"/>
              <w:jc w:val="both"/>
            </w:pPr>
          </w:p>
          <w:p>
            <w:pPr>
              <w:spacing w:after="20"/>
              <w:ind w:left="20"/>
              <w:jc w:val="both"/>
            </w:pPr>
            <w:r>
              <w:rPr>
                <w:rFonts w:ascii="Times New Roman"/>
                <w:b/>
                <w:i w:val="false"/>
                <w:color w:val="000000"/>
                <w:sz w:val="20"/>
              </w:rPr>
              <w:t>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w:t>
            </w:r>
          </w:p>
          <w:p>
            <w:pPr>
              <w:spacing w:after="20"/>
              <w:ind w:left="20"/>
              <w:jc w:val="both"/>
            </w:pPr>
          </w:p>
          <w:p>
            <w:pPr>
              <w:spacing w:after="20"/>
              <w:ind w:left="20"/>
              <w:jc w:val="both"/>
            </w:pPr>
            <w:r>
              <w:rPr>
                <w:rFonts w:ascii="Times New Roman"/>
                <w:b/>
                <w:i w:val="false"/>
                <w:color w:val="000000"/>
                <w:sz w:val="20"/>
              </w:rPr>
              <w:t>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Қырғыз </w:t>
            </w:r>
          </w:p>
          <w:p>
            <w:pPr>
              <w:spacing w:after="20"/>
              <w:ind w:left="20"/>
              <w:jc w:val="both"/>
            </w:pPr>
          </w:p>
          <w:p>
            <w:pPr>
              <w:spacing w:after="20"/>
              <w:ind w:left="20"/>
              <w:jc w:val="both"/>
            </w:pPr>
            <w:r>
              <w:rPr>
                <w:rFonts w:ascii="Times New Roman"/>
                <w:b/>
                <w:i w:val="false"/>
                <w:color w:val="000000"/>
                <w:sz w:val="20"/>
              </w:rPr>
              <w:t>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w:t>
            </w:r>
          </w:p>
          <w:p>
            <w:pPr>
              <w:spacing w:after="20"/>
              <w:ind w:left="20"/>
              <w:jc w:val="both"/>
            </w:pPr>
          </w:p>
          <w:p>
            <w:pPr>
              <w:spacing w:after="20"/>
              <w:ind w:left="20"/>
              <w:jc w:val="both"/>
            </w:pPr>
            <w:r>
              <w:rPr>
                <w:rFonts w:ascii="Times New Roman"/>
                <w:b/>
                <w:i w:val="false"/>
                <w:color w:val="000000"/>
                <w:sz w:val="20"/>
              </w:rPr>
              <w:t>Федерациясынан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