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0a17" w14:textId="1cc0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WorldSkills ("Ворлдскиллс") кәсіпқой шеберлік бойынша халықаралық ресми жарыс іс-шараларын ұйымдастыру және өткізу мақсатында тауарларды әкелу (әкету)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2019 жылғы 29 наурыздағы № 25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4 және 20-тармақшаларына, </w:t>
      </w:r>
      <w:r>
        <w:rPr>
          <w:rFonts w:ascii="Times New Roman"/>
          <w:b w:val="false"/>
          <w:i w:val="false"/>
          <w:color w:val="000000"/>
          <w:sz w:val="28"/>
        </w:rPr>
        <w:t>24-тармағының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15-тармақшасына, Санитариялық, ветеринариялық-санитариялық және карантиндік фитосанитариялық шараларды қолдану туралы хаттаманың (2014 жылғы 29 мамырдағы Еуразиялық экономикалық одақ туралы шартқа № 12 қосымша)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одақтың Кеден кодексі 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48 және 50-тармақтарына сәйкес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Санитариялық, ветеринариялық-санитариялық, карантиндік фитосанитариялық шаралар мен радиациялық талаптарды, сондай-ақ экспорттық бақылау шараларын және әскери мақсаттағы өнімге қатысты шараларды қоспағанда, тыйымдар мен шектеулерді қолданбай, WorldSkills ("Ворлдскиллс") кәсіпқой шеберлік бойынша халықаралық ресми жарыс іс-шараларын (бұдан әрі – Іс-шаралар) ұйымдастыру мен өткізуге арналған және арнайы кедендік рәсімге орналастыруға рұқсат етілген тауарларды Еуразиялық экономикалық одақтың (бұдан әрі – Одақ) кедендік аумағына әкелуге, сондай-ақ арнайы кедендік рәсімнің қолданысы аяқталған кезде осы тауарларды Одақтың кедендік аумағынан әкетуге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Алқасының 2015 жылғы 21 сәуірдегі № 30 шешіміне </w:t>
      </w:r>
      <w:r>
        <w:rPr>
          <w:rFonts w:ascii="Times New Roman"/>
          <w:b w:val="false"/>
          <w:i w:val="false"/>
          <w:color w:val="000000"/>
          <w:sz w:val="28"/>
        </w:rPr>
        <w:t>№ 2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тізбенің 2.16 (азаматтық мақсаттағы (радиоэлектронды құралдар және (немесе) жиілігі жоғары құрылғылар, соның ішінде басқа тауарларға кіріктіре орнатылған не олардың құрамына кіретін), 2.19 (шифрлау (криптографиялық) құралдары) бөлімдеріне енгізілген, аумағында Іс-шаралар өткізілетін Одаққа мүше мемлекетте (бұдан әрі – мүше мемлекет) аккредиттелген шетелдік жеке тұлғалар кәсіпкерлік қызметті жүзеге асырумен байланысы жоқ кәсіптік қызметте осындай Іс-шараларға қатысу үшін пайдаланатын жеке пайдалануға арналған тауарларды тарифтік реттеу шараларын қолданбай Одақтың кедендік аумағына әкелуге, сондай-ақ Одақтың кедендік аумағынан әкетуге рұқсат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мемлекеттік санитариялық-эпидемиологиялық қадағалауға (бақылауға) жататын тауарларға қатысты мемлекеттік санитариялық-эпидемиологиялық қадағалауды (бақылауды) мүше мемлекеттердің уәкілетті органдары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ерекшеліктерді ескере отырып жүзеге асырады.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Кеден одағы комиссиясының 2010 жылғы 28 мамырдағы № 299 шешімімен бекітілген Еуразиялық экономикалық одақтың кедендік шекарасында және кедендік аумағында мемлекеттік санитариялық-эпидемиологиялық қадағалауға (бақылауға) жататын өнімнің (тауарлардың) бірыңғай тізбесіне енгізілген тауарларды Одақтың кедендік аумағына әкелу оларды мемлекеттік тіркемей, мемлекеттік тіркеу туралы куәлік бермей жүзеге асырылады.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Аумағында Іс-шаралар өткізілетін мүше мемлекеттің кеден ісі саласындағы бақылау мен қадағалау функцияларын жүзеге асыратын атқарушы билік органы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тауарларды арнайы кедендік рәсімге орналастыруға құқылы және осындай тауарларды жөнелтушілер және (немесе) алушылар болып табылатын тұлғалар туралы ақпаратты басқа мүше мемлекеттердің кеден органдарының назарына жеткізуді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күші Одақтың кедендік аумағына осы Шешім күшіне енген күннен бастап әкелінетін тауарларға, сондай-ақ осы Шешім күшіне енгенге дейін Іс-шараларды ұйымдастыру және өткізу кезінде пайдалану мақсатында Одақтың кедендік аумағында тұрған және арнайы кедендік рәсімге орналастырылған тауарларға қолданылады.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ресми жарияланған күнінен бастап күнтізбелік 10 күн өткен соң күшіне енеді.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комиссия Кеңесінің </w:t>
      </w:r>
      <w:r>
        <w:rPr>
          <w:rFonts w:ascii="Times New Roman"/>
          <w:b/>
          <w:i w:val="false"/>
          <w:color w:val="000000"/>
          <w:sz w:val="28"/>
        </w:rPr>
        <w:t>мүшелері: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Қырғыз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Ә. Смайылов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