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d7c4" w14:textId="655d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Көліктік (автомобильдік) бақылауды жүзеге асыру үшін пайдаланылатын рұқсат беру құжаттары түрлерінің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233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№155 шешімімен бекітілген Еуразиялық экономикалық одақтың бірыңғай нормативтік-анықтамалық ақпарат жүйесі туралы ережені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көліктік (автомобильдік) бақылауды жүзеге асыру үшін пайдаланылатын рұқсат беру құжаттары түрлерінің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Start w:name="z3" w:id="0"/>
    <w:p>
      <w:pPr>
        <w:spacing w:after="0"/>
        <w:ind w:left="0"/>
        <w:jc w:val="both"/>
      </w:pPr>
      <w:r>
        <w:rPr>
          <w:rFonts w:ascii="Times New Roman"/>
          <w:b w:val="false"/>
          <w:i w:val="false"/>
          <w:color w:val="000000"/>
          <w:sz w:val="28"/>
        </w:rPr>
        <w:t>
      2. Сыныптауыш Еуразиялық экономикалық одақтың бірыңғай нормативтік-анықтамалық ақпарат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Сыныптауышқа қатысты оператордың функцияларын Еуразиялық экономикалық комиссия орындайды;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 "Еуразиялық экономикалық одақтың сыртқы шекарасында көліктік (автомобильдік) бақылауды ақпараттық қамтамасыз ету" жалпы процесін іске асыру кезінде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233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Көліктік (автомобильдік) бақылауды жүзеге асыру үшін пайдаланылатын рұқсат беру құжаттары түрлерінің сыныптауышы</w:t>
      </w:r>
    </w:p>
    <w:bookmarkEnd w:id="3"/>
    <w:bookmarkStart w:name="z8" w:id="4"/>
    <w:p>
      <w:pPr>
        <w:spacing w:after="0"/>
        <w:ind w:left="0"/>
        <w:jc w:val="left"/>
      </w:pPr>
      <w:r>
        <w:rPr>
          <w:rFonts w:ascii="Times New Roman"/>
          <w:b/>
          <w:i w:val="false"/>
          <w:color w:val="000000"/>
        </w:rPr>
        <w:t xml:space="preserve"> I. Сыныптауыштың ізеуірттелген мәліметтері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түрлері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мәннің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 рұқсат беру құжатын пайдалану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арнайы рұқсаттар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(немесе) ауыр салмақты жүктерді тасымалдауға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KZ</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немесе бөлінбейтін жүкті тасымалдауға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(немесе жүксіз) халықаралық автомобиль тасымалын жүзеге асыратын ірі көлемді және (немесе) ауыр салмақты көлік құралының бір рет жүріп өтуіне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(немесе жүксіз) халықаралық автомобиль тасымалын жүзеге асыратын ірі көлемді және (немесе) ауыр салмақты көлік құралының бірнеше жол жүруіне (10-нан көп емес)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рұқсат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бірыңғай (әмбебап)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аумағы арқылы транзиттік өтуге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(жол жүруге) арналған екі жақты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(елдерден) тасымалдауға (жол жүруге)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қатынаста жүктерді тасымалдауға арналған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шетелдік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көп реттік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жүктерді тасымалдауға арналған өзге де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министрлерінің Еуропалық конференциясының рұқсаты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министрлерінің Еуропалық конференциясының жылдық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RU</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министрлерінің Еуропалық конференциясының қысқа мерзімді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министрлерінің Еуропалық конференциясының қоныс аударушыларды халықаралық тасымалдауға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рұқсат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халықаралық тұрақты тасымалдауға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халықаралық тұрақты емес тасымалдауға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қатынаста жолаушыларды тұрақты емес тасымалдауға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 KG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қатынаста жолаушыларды тұрақты емес тасымалдауға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үшінші елдерге (елдерден) тұрақты емес тасымалдау үшін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бір жыл қолдану мерзімімен жолаушыларды және багажды тұрақты тасымалдауға арналған шетелдік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тасымалдауға арналған өзге де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(сапарлауға) арналған өзге де рұқсаттар)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жүк тасымалдауды жүзеге асыруға рұқсат беру куәлігі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рұқсат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RU</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 RU</w:t>
            </w:r>
          </w:p>
        </w:tc>
      </w:tr>
    </w:tbl>
    <w:bookmarkStart w:name="z9" w:id="5"/>
    <w:p>
      <w:pPr>
        <w:spacing w:after="0"/>
        <w:ind w:left="0"/>
        <w:jc w:val="left"/>
      </w:pPr>
      <w:r>
        <w:rPr>
          <w:rFonts w:ascii="Times New Roman"/>
          <w:b/>
          <w:i w:val="false"/>
          <w:color w:val="000000"/>
        </w:rPr>
        <w:t xml:space="preserve"> II. Сыныптауыштың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(автомобильдік) бақылауды жүзеге асыру үшін пайдаланылатын рұқсат беру құжаттары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КБРҚТС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063-2019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қолданысқа енгізу (қолдануды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24 желтоқсандағы № 233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қатынасында жол жүруді және (немесе) жүктерді (жолаушыларды) тасымалдауды жүзеге асыру құқығына рұқсат беру құжаттарының түрлерін сыныптауға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шекарасында көліктік (автомобильдік) бақылауды ақпараттық қамтамасыз ету. Еуразиялық экономикалық одаққа мүше мемлекеттердің уәкілетті органдары арасында, Еуразиялық экономикалық комиссия және мүше мемлекеттердің уәкілетті органдары арасында, Еуразиялық экономикалық комиссия және халықаралық интеграциялық бірлестіктер мен халықаралық ұйымдар арасында, мүше мемлекеттердің уәкілетті органдары  әрі заңды және жеке тұлғалар арасында ақпарат алмасуды жүзеге асыру кезінде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жүк тасымалдау, жолаушыларды тасымалдау, жол жүру, құжат, құжат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аймақтық) сыныптауды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мемлекеттік анықтамалықтарының (сыныптауыштарының)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сыныптауыштың Еуразиялық экономикалық одаққа мүше мемлекеттерде аналогтары бар:</w:t>
            </w:r>
          </w:p>
          <w:p>
            <w:pPr>
              <w:spacing w:after="20"/>
              <w:ind w:left="20"/>
              <w:jc w:val="both"/>
            </w:pPr>
            <w:r>
              <w:rPr>
                <w:rFonts w:ascii="Times New Roman"/>
                <w:b w:val="false"/>
                <w:i w:val="false"/>
                <w:color w:val="000000"/>
                <w:sz w:val="20"/>
              </w:rPr>
              <w:t>
Беларусь Республикасында – Кеден одағы елдерінің аумағы арқылы тасымалдауға (жол жүруге) рұқсаттар түрлерінің анықтамалығы, КМЕК берілген рұқсаттардың анықтамалығы, Беларусь Республикасының аумағы бойынша жолаушыларды автобустармен халықаралық тұрақты емес тасымалдауға берілген рұқсаттардың анықтамалығы, Беларусь Республикасының аумағы бойынша жолаушыларды автобустармен халықаралық тұрақты тасымалдауға берілген рұқсаттардың анықтамалығы, Беларусь Республикасының аумағы бойынша автомобиль көлігімен жүктерді халықаралық тасымалдауға берілген рұқсаттардың анықтамалығы;</w:t>
            </w:r>
          </w:p>
          <w:p>
            <w:pPr>
              <w:spacing w:after="20"/>
              <w:ind w:left="20"/>
              <w:jc w:val="both"/>
            </w:pPr>
            <w:r>
              <w:rPr>
                <w:rFonts w:ascii="Times New Roman"/>
                <w:b w:val="false"/>
                <w:i w:val="false"/>
                <w:color w:val="000000"/>
                <w:sz w:val="20"/>
              </w:rPr>
              <w:t>
Қазақстан Республикасында – халықаралық қатынаста жүктерді (жолаушыларды) тасымалдауды жүзеге асыру құқығына Қазақстан Республикасының рұқсаттар түрлерінің анықтамалығы, Халықаралық қатынаста жүктерді (жолаушыларды) тасымалдауды жүзеге асыру құқығына Ресей Федерациясы мен Беларусь Республикасының рұқсаттар түрлерінің анықтамалығы;</w:t>
            </w:r>
          </w:p>
          <w:p>
            <w:pPr>
              <w:spacing w:after="20"/>
              <w:ind w:left="20"/>
              <w:jc w:val="both"/>
            </w:pPr>
            <w:r>
              <w:rPr>
                <w:rFonts w:ascii="Times New Roman"/>
                <w:b w:val="false"/>
                <w:i w:val="false"/>
                <w:color w:val="000000"/>
                <w:sz w:val="20"/>
              </w:rPr>
              <w:t>
Ресей Федерациясында – "Жол жүруге рұқсат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2-иерархиялық, сатылар (деңгейлер) саны-2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1-Орталықтандырылған жүргізу рәсімі.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мәндерін қосуды, өзгертуді немесе алып тастауды оператор Еуразиялық экономикалық комиссияның актісіне сәйкес орындайды. Оператор өзекті мәліметтерді Еуразиялық экономикалық одақтың бірыңғай нормативтік-анықтамалық ақпараты жүйесінің ресурстарына орналастыруды қамтамасыз етеді. Мән алып тасталған жағдайда сыныптауыш жазбасы сыныптауыш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күннен бастап жарамсыз деп белгіленеді. Сыныптауыштың кодтары бірегей болып табылады, Сыныптауыштың кодтарын, соның ішінде қолданыста жоқ кодтарын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құрылымының сипаттамасы (жолақтардың құрамы, олардың мәндерінің аясы және қалыптастыру қағидалары) осы сыныптауыштың III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мәліметтері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мерзімділігі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ізеуірттелген    мәліметтеріне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ізеуірттелген  мәліметтері осы сыныптауыштың  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ІII. Сыныптауыш құрылымының сипаттамасы</w:t>
      </w:r>
    </w:p>
    <w:bookmarkEnd w:id="6"/>
    <w:bookmarkStart w:name="z11" w:id="7"/>
    <w:p>
      <w:pPr>
        <w:spacing w:after="0"/>
        <w:ind w:left="0"/>
        <w:jc w:val="both"/>
      </w:pPr>
      <w:r>
        <w:rPr>
          <w:rFonts w:ascii="Times New Roman"/>
          <w:b w:val="false"/>
          <w:i w:val="false"/>
          <w:color w:val="000000"/>
          <w:sz w:val="28"/>
        </w:rPr>
        <w:t>
      1. Осы бөлім сыныптауыштың құрылымы және деректемелік құрамын, соның ішінде деректемелер мәндерінің саласын және оларды қалыптастыру қағидаларын айқындайды.</w:t>
      </w:r>
    </w:p>
    <w:bookmarkEnd w:id="7"/>
    <w:bookmarkStart w:name="z12" w:id="8"/>
    <w:p>
      <w:pPr>
        <w:spacing w:after="0"/>
        <w:ind w:left="0"/>
        <w:jc w:val="both"/>
      </w:pPr>
      <w:r>
        <w:rPr>
          <w:rFonts w:ascii="Times New Roman"/>
          <w:b w:val="false"/>
          <w:i w:val="false"/>
          <w:color w:val="000000"/>
          <w:sz w:val="28"/>
        </w:rPr>
        <w:t xml:space="preserve">
      2. Сыныптауыштың құрылымы және деректемелік құрамы мынадай жолдар (графалар) қалыптастырылатын кестеде келтірілген: </w:t>
      </w:r>
    </w:p>
    <w:bookmarkEnd w:id="8"/>
    <w:p>
      <w:pPr>
        <w:spacing w:after="0"/>
        <w:ind w:left="0"/>
        <w:jc w:val="both"/>
      </w:pPr>
      <w:r>
        <w:rPr>
          <w:rFonts w:ascii="Times New Roman"/>
          <w:b w:val="false"/>
          <w:i w:val="false"/>
          <w:color w:val="000000"/>
          <w:sz w:val="28"/>
        </w:rPr>
        <w:t>
      "деректеме мәнінің аясы"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және оны қалыптастыру (толтыру) қағидаларын айқындайтын мәтін немесе элементтің ықтимал мәндерін ауызша сипаттау;</w:t>
      </w:r>
    </w:p>
    <w:p>
      <w:pPr>
        <w:spacing w:after="0"/>
        <w:ind w:left="0"/>
        <w:jc w:val="both"/>
      </w:pPr>
      <w:r>
        <w:rPr>
          <w:rFonts w:ascii="Times New Roman"/>
          <w:b w:val="false"/>
          <w:i w:val="false"/>
          <w:color w:val="000000"/>
          <w:sz w:val="28"/>
        </w:rPr>
        <w:t>
      "көпт." – деректеменің көптігі (міндеттілік (опциондық) және деректеменің ықтимал қайталануының саны).</w:t>
      </w:r>
    </w:p>
    <w:bookmarkStart w:name="z13" w:id="9"/>
    <w:p>
      <w:pPr>
        <w:spacing w:after="0"/>
        <w:ind w:left="0"/>
        <w:jc w:val="both"/>
      </w:pPr>
      <w:r>
        <w:rPr>
          <w:rFonts w:ascii="Times New Roman"/>
          <w:b w:val="false"/>
          <w:i w:val="false"/>
          <w:color w:val="000000"/>
          <w:sz w:val="28"/>
        </w:rPr>
        <w:t>
      3. Берілетін деректер реквизиттерінің көптігін көрсету үшін мынадай белгілер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артық емес қайталануға тиіс (n &gt; 1, m &gt; 1);</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артық емес қайталануы мүмкін (m &gt; 1).</w:t>
      </w:r>
    </w:p>
    <w:bookmarkStart w:name="z14" w:id="10"/>
    <w:p>
      <w:pPr>
        <w:spacing w:after="0"/>
        <w:ind w:left="0"/>
        <w:jc w:val="both"/>
      </w:pPr>
      <w:r>
        <w:rPr>
          <w:rFonts w:ascii="Times New Roman"/>
          <w:b w:val="false"/>
          <w:i w:val="false"/>
          <w:color w:val="000000"/>
          <w:sz w:val="28"/>
        </w:rPr>
        <w:t>
      Кесте</w:t>
      </w:r>
    </w:p>
    <w:bookmarkEnd w:id="10"/>
    <w:bookmarkStart w:name="z15" w:id="11"/>
    <w:p>
      <w:pPr>
        <w:spacing w:after="0"/>
        <w:ind w:left="0"/>
        <w:jc w:val="left"/>
      </w:pPr>
      <w:r>
        <w:rPr>
          <w:rFonts w:ascii="Times New Roman"/>
          <w:b/>
          <w:i w:val="false"/>
          <w:color w:val="000000"/>
        </w:rPr>
        <w:t xml:space="preserve"> Сыныптауыштың құрылымы және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беру құжаттары түрлерінің санаттары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деректемелердің мәндерінің саласымен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Рұқсат беру құжаттары түрлері санатының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таңбалар жолы:</w:t>
            </w:r>
          </w:p>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дәйекті әдісін қолдану арқылы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Кодтық мәннің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Рұқсат беру құжаттарының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Рұқсат беру құжаты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таңбалар жолы: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дәйекті әдісін пайдалана отырып қалыптастырылады, алғашқы екі символ рұқсат беру құжаттары түрлерінің санаты кодынан иелікке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Кодтық мәннің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1.3.1.3.Еуразиялық экономикалық одаққа мүше мемлекетте рұқсат беру құжатын пайдалану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шаблонға сәйкес таңбалар жолы: [A-Z]{2}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мүше мемлекеттің Alpha-2 әріптік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"Рұқсат беру құжаттарының түрлері туралы мәліметтер" сыныптауышының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деректемелердің мәндерінің саласымен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 Әрекеттің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әрекеттің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 Әрекеттің басталуын реттейтін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деректемелердің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қалыптанған таңбалар жолы. </w:t>
            </w:r>
          </w:p>
          <w:p>
            <w:pPr>
              <w:spacing w:after="20"/>
              <w:ind w:left="20"/>
              <w:jc w:val="both"/>
            </w:pPr>
            <w:r>
              <w:rPr>
                <w:rFonts w:ascii="Times New Roman"/>
                <w:b w:val="false"/>
                <w:i w:val="false"/>
                <w:color w:val="000000"/>
                <w:sz w:val="20"/>
              </w:rPr>
              <w:t>
Үлгі: \d{5&gt;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 Әрекеттің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әрекеттің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 Әрекеттің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деректемелердің мәндерінің саласымен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Қалпына келтірілген нышандар жолы. </w:t>
            </w:r>
          </w:p>
          <w:p>
            <w:pPr>
              <w:spacing w:after="20"/>
              <w:ind w:left="20"/>
              <w:jc w:val="both"/>
            </w:pPr>
            <w:r>
              <w:rPr>
                <w:rFonts w:ascii="Times New Roman"/>
                <w:b w:val="false"/>
                <w:i w:val="false"/>
                <w:color w:val="000000"/>
                <w:sz w:val="20"/>
              </w:rPr>
              <w:t>
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YYYY-MM-DD форматындағы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