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9f66" w14:textId="a189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(автомобильдік) бақылауды жүзеге асыру нәтижелері бойынша анықталған бұзушылықтар типтерінің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Көліктік (автомобильдік) бақылауды жүзеге асыру нәтижелері бойынша анықталған бұзушылықтар типтерінің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жүйесінің ресурстары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Сыныптауышқа қатысты оператор қызметін Еуразиялық экономикалық комиссия атқарады;</w:t>
      </w:r>
    </w:p>
    <w:p>
      <w:pPr>
        <w:spacing w:after="0"/>
        <w:ind w:left="0"/>
        <w:jc w:val="both"/>
      </w:pPr>
      <w:r>
        <w:rPr>
          <w:rFonts w:ascii="Times New Roman"/>
          <w:b w:val="false"/>
          <w:i w:val="false"/>
          <w:color w:val="000000"/>
          <w:sz w:val="28"/>
        </w:rPr>
        <w:t>
      Сыныптауыштың кодтық белгіленімдеін пайдалану Еуразиялық экономикалық одақ шеңберінде "Еуразиялық экономикалық одақтың сыртқы шекарасында көліктік (автомобильдік) бақылауды ақпараттық қамтамасыз ету" жалпы процесін іске асыру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Көліктік (автомобильдік) бақылауды жүзеге асыру нәтижелері бойынша анықталған бұзушылықтар типтерінің СЫНЫПТАУЫШЫ</w:t>
      </w:r>
    </w:p>
    <w:bookmarkEnd w:id="5"/>
    <w:bookmarkStart w:name="z8" w:id="6"/>
    <w:p>
      <w:pPr>
        <w:spacing w:after="0"/>
        <w:ind w:left="0"/>
        <w:jc w:val="left"/>
      </w:pPr>
      <w:r>
        <w:rPr>
          <w:rFonts w:ascii="Times New Roman"/>
          <w:b/>
          <w:i w:val="false"/>
          <w:color w:val="000000"/>
        </w:rPr>
        <w:t xml:space="preserve"> I. Сыныптауыштың ізеуірттелген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типінің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типінің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жүкті тасымалдауға арнайы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жүкті тасымалдауға арнауы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тасымалдауға арнауы рұқсаттың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өткізудің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алымдарының төлемі туралы құжаттың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төлеу туралы құжаттың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сипаттамаларының жол жүруге (тасымалдауға) рұқсат беру талаптарына сәйкессіздігі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осьтегі нақты салмақтың ауыр салмақты жүкті тасымалдауға арнайы рұқсатта көрсетілген мәліметтерге сәйкессіздігі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массаның ауыр салмақты жүкті тасымалдауға арнайы рұқсатта көрсетілген мәліметтерге сәйкессіздігі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габариттерінің ірі габаритті жүкті тасымалдауға арнайы рұқсатта көрсетілген мәліметтерге сәйкессіздігі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bookmarkStart w:name="z9" w:id="7"/>
    <w:p>
      <w:pPr>
        <w:spacing w:after="0"/>
        <w:ind w:left="0"/>
        <w:jc w:val="left"/>
      </w:pPr>
      <w:r>
        <w:rPr>
          <w:rFonts w:ascii="Times New Roman"/>
          <w:b/>
          <w:i w:val="false"/>
          <w:color w:val="000000"/>
        </w:rPr>
        <w:t xml:space="preserve"> II. Сыныптауыштың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(автомобильдік) бақылауды жүзеге асыру нәтижелері бойынша анықталған бұзушылықтар типтерінің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062 - 2019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232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232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көліктік (автомобильдік) бақылауды жүзеге асыруға қойылатын талаптарды бұзушылықтар типтерін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көліктік (автомобильдік) бақылау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сыныптаудың иерархиялық әдісі, сатылар саны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 жүргізудің орталықтандырылған әдістемесі. Сыныптауыштың мәндерін қосуды, өзгертуді немесе алып тастауды Еуразиялық экономикалық комиссияның актісіне сәйкес оператор орындайды. Оператор сыныптауыштан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сыныптауыш жазбасы сыныптауыш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Сыныптауыш кодтары бірегей болып табылады, сыныптауыш кодтарын, соның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құрылымының сипаттамасы (өрістерінің құрамы, олардың мәндерінің саласы және қалыптастыру қағидалары) осы сыныптауыштың III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ізеуірттелген мәліметтері осы анықтамалықтың І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IІI. Сыныптауыш құрылымының сипаттамасы</w:t>
      </w:r>
    </w:p>
    <w:bookmarkEnd w:id="8"/>
    <w:bookmarkStart w:name="z11" w:id="9"/>
    <w:p>
      <w:pPr>
        <w:spacing w:after="0"/>
        <w:ind w:left="0"/>
        <w:jc w:val="both"/>
      </w:pPr>
      <w:r>
        <w:rPr>
          <w:rFonts w:ascii="Times New Roman"/>
          <w:b w:val="false"/>
          <w:i w:val="false"/>
          <w:color w:val="000000"/>
          <w:sz w:val="28"/>
        </w:rPr>
        <w:t>
      1. Осы бөлім сыныптауыштың құрылымы мен деректемелік құрамын, оның ішінде деректемелер мәндерінің саласын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өрістер (бағандар) қалыптастырылады:</w:t>
      </w:r>
    </w:p>
    <w:bookmarkEnd w:id="10"/>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Сыныптауыштың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(автомобильдік) бақылау нәтижелері бойынша анықталған бұзушылықтардың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Бұзушылық типінің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(автомобильдік) бақылау нәтижелері бойынша анықталған бұзушылық типінің кодтық белгісін қамтиды, кодтаудың сериялық-реттік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Бұзушылық типінің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кодтық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кодтық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